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CE" w:rsidRDefault="00DA2A06">
      <w:pPr>
        <w:widowControl w:val="0"/>
        <w:tabs>
          <w:tab w:val="left" w:pos="1701"/>
        </w:tabs>
        <w:autoSpaceDE w:val="0"/>
        <w:autoSpaceDN w:val="0"/>
        <w:adjustRightInd w:val="0"/>
        <w:spacing w:after="0" w:line="360" w:lineRule="auto"/>
        <w:outlineLvl w:val="0"/>
        <w:rPr>
          <w:rFonts w:ascii="Arial" w:hAnsi="Arial" w:cs="Arial"/>
          <w:b/>
          <w:bCs/>
          <w:lang w:val="en-GB"/>
        </w:rPr>
      </w:pPr>
      <w:bookmarkStart w:id="0" w:name="OLE_LINK33"/>
      <w:bookmarkStart w:id="1" w:name="OLE_LINK34"/>
      <w:bookmarkStart w:id="2" w:name="OLE_LINK13"/>
      <w:bookmarkStart w:id="3" w:name="OLE_LINK12"/>
      <w:r>
        <w:rPr>
          <w:rFonts w:ascii="Arial" w:hAnsi="Arial" w:cs="Arial"/>
          <w:b/>
          <w:bCs/>
          <w:lang w:val="en-GB"/>
        </w:rPr>
        <w:t>3GPP TSG RAN WG1 Meeting #</w:t>
      </w:r>
      <w:r>
        <w:rPr>
          <w:rFonts w:ascii="Arial" w:hAnsi="Arial" w:cs="Arial" w:hint="eastAsia"/>
          <w:b/>
          <w:bCs/>
          <w:lang w:val="en-GB"/>
        </w:rPr>
        <w:t xml:space="preserve">90                                                                           </w:t>
      </w:r>
      <w:r w:rsidR="008A5343" w:rsidRPr="008A5343">
        <w:rPr>
          <w:rFonts w:ascii="Arial" w:hAnsi="Arial" w:cs="Arial"/>
          <w:b/>
          <w:bCs/>
          <w:lang w:val="en-GB"/>
        </w:rPr>
        <w:t>R1-1712669</w:t>
      </w:r>
    </w:p>
    <w:p w:rsidR="00815DCE" w:rsidRDefault="005E2694">
      <w:pPr>
        <w:widowControl w:val="0"/>
        <w:tabs>
          <w:tab w:val="left" w:pos="1701"/>
        </w:tabs>
        <w:autoSpaceDE w:val="0"/>
        <w:autoSpaceDN w:val="0"/>
        <w:adjustRightInd w:val="0"/>
        <w:spacing w:after="0" w:line="360" w:lineRule="auto"/>
        <w:outlineLvl w:val="0"/>
        <w:rPr>
          <w:rFonts w:ascii="Arial" w:hAnsi="Arial" w:cs="Arial"/>
          <w:b/>
          <w:bCs/>
          <w:lang w:val="en-GB"/>
        </w:rPr>
      </w:pPr>
      <w:r w:rsidRPr="00B3304A">
        <w:rPr>
          <w:rFonts w:ascii="Arial" w:hAnsi="Arial" w:cs="Arial" w:hint="eastAsia"/>
          <w:b/>
          <w:bCs/>
          <w:lang w:val="en-GB"/>
        </w:rPr>
        <w:t>Prague</w:t>
      </w:r>
      <w:r w:rsidRPr="00B3304A">
        <w:rPr>
          <w:rFonts w:ascii="Arial" w:hAnsi="Arial" w:cs="Arial"/>
          <w:b/>
          <w:bCs/>
          <w:lang w:val="en-GB"/>
        </w:rPr>
        <w:t xml:space="preserve">, </w:t>
      </w:r>
      <w:r w:rsidR="00C142A2">
        <w:rPr>
          <w:rFonts w:ascii="Arial" w:hAnsi="Arial" w:cs="Arial"/>
          <w:b/>
          <w:bCs/>
          <w:lang w:val="en-GB"/>
        </w:rPr>
        <w:t>Czech Republic,</w:t>
      </w:r>
      <w:r>
        <w:rPr>
          <w:rFonts w:ascii="Arial" w:hAnsi="Arial" w:cs="Arial" w:hint="eastAsia"/>
          <w:b/>
          <w:bCs/>
          <w:lang w:val="en-GB"/>
        </w:rPr>
        <w:t xml:space="preserve"> </w:t>
      </w:r>
      <w:r w:rsidR="00C142A2">
        <w:rPr>
          <w:rFonts w:ascii="Arial" w:hAnsi="Arial" w:cs="Arial" w:hint="eastAsia"/>
          <w:b/>
          <w:bCs/>
          <w:lang w:val="en-GB"/>
        </w:rPr>
        <w:t>21</w:t>
      </w:r>
      <w:r w:rsidR="00DA2A06">
        <w:rPr>
          <w:rFonts w:ascii="Arial" w:hAnsi="Arial" w:cs="Arial" w:hint="eastAsia"/>
          <w:b/>
          <w:bCs/>
          <w:lang w:val="en-GB"/>
        </w:rPr>
        <w:t xml:space="preserve"> </w:t>
      </w:r>
      <w:r w:rsidR="00DA2A06">
        <w:rPr>
          <w:rFonts w:ascii="Arial" w:hAnsi="Arial" w:cs="Arial"/>
          <w:b/>
          <w:bCs/>
          <w:lang w:val="en-GB"/>
        </w:rPr>
        <w:t xml:space="preserve">– </w:t>
      </w:r>
      <w:r w:rsidR="00C142A2">
        <w:rPr>
          <w:rFonts w:ascii="Arial" w:hAnsi="Arial" w:cs="Arial" w:hint="eastAsia"/>
          <w:b/>
          <w:bCs/>
          <w:lang w:val="en-GB"/>
        </w:rPr>
        <w:t>25</w:t>
      </w:r>
      <w:r w:rsidR="00DA2A06">
        <w:rPr>
          <w:rFonts w:ascii="Arial" w:hAnsi="Arial" w:cs="Arial"/>
          <w:b/>
          <w:bCs/>
          <w:lang w:val="en-GB"/>
        </w:rPr>
        <w:t xml:space="preserve"> </w:t>
      </w:r>
      <w:r w:rsidR="00DA2A06">
        <w:rPr>
          <w:rFonts w:ascii="Arial" w:hAnsi="Arial" w:cs="Arial" w:hint="eastAsia"/>
          <w:b/>
          <w:bCs/>
          <w:lang w:val="en-GB"/>
        </w:rPr>
        <w:t>August</w:t>
      </w:r>
      <w:r w:rsidR="00DA2A06">
        <w:rPr>
          <w:rFonts w:ascii="Arial" w:hAnsi="Arial" w:cs="Arial"/>
          <w:b/>
          <w:bCs/>
          <w:lang w:val="en-GB"/>
        </w:rPr>
        <w:t xml:space="preserve"> 201</w:t>
      </w:r>
      <w:r w:rsidR="00DA2A06">
        <w:rPr>
          <w:rFonts w:ascii="Arial" w:hAnsi="Arial" w:cs="Arial" w:hint="eastAsia"/>
          <w:b/>
          <w:bCs/>
          <w:lang w:val="en-GB"/>
        </w:rPr>
        <w:t>7</w:t>
      </w:r>
    </w:p>
    <w:p w:rsidR="00815DCE" w:rsidRDefault="00815DCE">
      <w:pPr>
        <w:pStyle w:val="Header"/>
        <w:tabs>
          <w:tab w:val="clear" w:pos="4536"/>
        </w:tabs>
        <w:spacing w:line="360" w:lineRule="auto"/>
        <w:rPr>
          <w:rFonts w:eastAsia="SimSun"/>
          <w:sz w:val="22"/>
          <w:szCs w:val="22"/>
          <w:lang w:val="en-GB" w:eastAsia="zh-CN"/>
        </w:rPr>
      </w:pPr>
    </w:p>
    <w:p w:rsidR="00815DCE" w:rsidRDefault="00DA2A06">
      <w:pPr>
        <w:pStyle w:val="Header"/>
        <w:tabs>
          <w:tab w:val="clear" w:pos="4536"/>
        </w:tabs>
        <w:spacing w:line="360" w:lineRule="auto"/>
        <w:rPr>
          <w:sz w:val="22"/>
          <w:szCs w:val="22"/>
        </w:rPr>
      </w:pPr>
      <w:r>
        <w:rPr>
          <w:sz w:val="22"/>
          <w:szCs w:val="22"/>
        </w:rPr>
        <w:t>Source:</w:t>
      </w:r>
      <w:r>
        <w:rPr>
          <w:rFonts w:eastAsia="SimSun" w:hint="eastAsia"/>
          <w:sz w:val="22"/>
          <w:szCs w:val="22"/>
          <w:lang w:eastAsia="zh-CN"/>
        </w:rPr>
        <w:t xml:space="preserve">               </w:t>
      </w:r>
      <w:r>
        <w:rPr>
          <w:sz w:val="22"/>
          <w:szCs w:val="22"/>
        </w:rPr>
        <w:t>ZTE</w:t>
      </w:r>
    </w:p>
    <w:p w:rsidR="00815DCE" w:rsidRDefault="00DA2A06">
      <w:pPr>
        <w:pStyle w:val="Header"/>
        <w:tabs>
          <w:tab w:val="clear" w:pos="4536"/>
        </w:tabs>
        <w:spacing w:line="360" w:lineRule="auto"/>
        <w:rPr>
          <w:rFonts w:eastAsia="SimSun"/>
          <w:sz w:val="22"/>
          <w:szCs w:val="22"/>
          <w:lang w:eastAsia="zh-CN"/>
        </w:rPr>
      </w:pPr>
      <w:r>
        <w:rPr>
          <w:rFonts w:eastAsia="SimSun"/>
          <w:sz w:val="22"/>
          <w:szCs w:val="22"/>
          <w:lang w:eastAsia="zh-CN"/>
        </w:rPr>
        <w:t>Title:</w:t>
      </w:r>
      <w:r>
        <w:rPr>
          <w:rFonts w:eastAsia="SimSun" w:hint="eastAsia"/>
          <w:sz w:val="22"/>
          <w:szCs w:val="22"/>
          <w:lang w:eastAsia="zh-CN"/>
        </w:rPr>
        <w:t xml:space="preserve">                   </w:t>
      </w:r>
      <w:r>
        <w:rPr>
          <w:rFonts w:eastAsia="SimSun" w:hint="eastAsia"/>
          <w:sz w:val="22"/>
          <w:lang w:eastAsia="zh-CN"/>
        </w:rPr>
        <w:t xml:space="preserve"> Resource allocation for wideband operation</w:t>
      </w:r>
    </w:p>
    <w:p w:rsidR="00815DCE" w:rsidRDefault="00DA2A06">
      <w:pPr>
        <w:pStyle w:val="Header"/>
        <w:tabs>
          <w:tab w:val="clear" w:pos="4536"/>
        </w:tabs>
        <w:spacing w:line="360" w:lineRule="auto"/>
        <w:rPr>
          <w:rFonts w:eastAsia="SimSun"/>
          <w:sz w:val="22"/>
          <w:szCs w:val="22"/>
          <w:lang w:eastAsia="zh-CN"/>
        </w:rPr>
      </w:pPr>
      <w:r>
        <w:rPr>
          <w:sz w:val="22"/>
          <w:szCs w:val="22"/>
        </w:rPr>
        <w:t>Agenda item:</w:t>
      </w:r>
      <w:r>
        <w:rPr>
          <w:rFonts w:hint="eastAsia"/>
          <w:sz w:val="22"/>
          <w:szCs w:val="22"/>
        </w:rPr>
        <w:t xml:space="preserve">      </w:t>
      </w:r>
      <w:r>
        <w:rPr>
          <w:rFonts w:eastAsia="SimSun" w:hint="eastAsia"/>
          <w:sz w:val="22"/>
          <w:szCs w:val="22"/>
          <w:lang w:eastAsia="zh-CN"/>
        </w:rPr>
        <w:t>6.1.3.5</w:t>
      </w:r>
    </w:p>
    <w:p w:rsidR="00815DCE" w:rsidRDefault="00DA2A06">
      <w:pPr>
        <w:pBdr>
          <w:bottom w:val="single" w:sz="4" w:space="1" w:color="auto"/>
        </w:pBdr>
        <w:tabs>
          <w:tab w:val="left" w:pos="1701"/>
          <w:tab w:val="left" w:pos="2552"/>
        </w:tabs>
        <w:adjustRightInd w:val="0"/>
        <w:spacing w:after="0" w:line="360" w:lineRule="auto"/>
        <w:rPr>
          <w:sz w:val="24"/>
        </w:rPr>
      </w:pPr>
      <w:r>
        <w:rPr>
          <w:rFonts w:ascii="Arial" w:hAnsi="Arial" w:cs="Arial"/>
          <w:b/>
        </w:rPr>
        <w:t xml:space="preserve">Document for:  </w:t>
      </w:r>
      <w:r>
        <w:rPr>
          <w:rFonts w:ascii="Arial" w:hAnsi="Arial" w:cs="Arial" w:hint="eastAsia"/>
          <w:b/>
        </w:rPr>
        <w:t xml:space="preserve">  </w:t>
      </w:r>
      <w:r>
        <w:rPr>
          <w:rFonts w:ascii="Arial" w:hAnsi="Arial" w:cs="Arial"/>
          <w:b/>
        </w:rPr>
        <w:t>Discussion and Decision</w:t>
      </w:r>
      <w:bookmarkEnd w:id="0"/>
      <w:bookmarkEnd w:id="1"/>
    </w:p>
    <w:p w:rsidR="00D47A48" w:rsidRDefault="00DA2A06" w:rsidP="005301C7">
      <w:pPr>
        <w:pStyle w:val="Heading1"/>
        <w:spacing w:beforeLines="50" w:line="360" w:lineRule="auto"/>
        <w:ind w:left="431" w:hanging="431"/>
        <w:rPr>
          <w:rFonts w:eastAsia="SimSun"/>
          <w:sz w:val="32"/>
          <w:lang w:val="en-US"/>
        </w:rPr>
      </w:pPr>
      <w:r>
        <w:rPr>
          <w:sz w:val="32"/>
          <w:lang w:val="en-US"/>
        </w:rPr>
        <w:t>Introduction</w:t>
      </w:r>
    </w:p>
    <w:bookmarkEnd w:id="2"/>
    <w:bookmarkEnd w:id="3"/>
    <w:p w:rsidR="00815DCE" w:rsidRDefault="00DA2A06">
      <w:pPr>
        <w:snapToGrid w:val="0"/>
        <w:spacing w:before="120" w:after="120" w:line="360" w:lineRule="auto"/>
        <w:jc w:val="both"/>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 xml:space="preserve">n </w:t>
      </w:r>
      <w:r>
        <w:rPr>
          <w:rFonts w:ascii="Times New Roman" w:hAnsi="Times New Roman"/>
          <w:sz w:val="20"/>
          <w:szCs w:val="20"/>
        </w:rPr>
        <w:t xml:space="preserve">the </w:t>
      </w:r>
      <w:r>
        <w:rPr>
          <w:rFonts w:ascii="Times New Roman" w:hAnsi="Times New Roman" w:hint="eastAsia"/>
          <w:sz w:val="20"/>
          <w:szCs w:val="20"/>
        </w:rPr>
        <w:t>RAN1 #</w:t>
      </w:r>
      <w:r>
        <w:rPr>
          <w:rFonts w:ascii="Times New Roman" w:hAnsi="Times New Roman" w:hint="eastAsia"/>
          <w:sz w:val="20"/>
        </w:rPr>
        <w:t>AH2</w:t>
      </w:r>
      <w:r>
        <w:rPr>
          <w:rFonts w:ascii="Times New Roman" w:hAnsi="Times New Roman" w:hint="eastAsia"/>
          <w:sz w:val="20"/>
          <w:szCs w:val="20"/>
        </w:rPr>
        <w:t xml:space="preserve"> meeting, the</w:t>
      </w:r>
      <w:r>
        <w:rPr>
          <w:rFonts w:ascii="Times New Roman" w:hAnsi="Times New Roman"/>
          <w:sz w:val="20"/>
          <w:szCs w:val="20"/>
        </w:rPr>
        <w:t>re</w:t>
      </w:r>
      <w:r>
        <w:rPr>
          <w:rFonts w:ascii="Times New Roman" w:hAnsi="Times New Roman" w:hint="eastAsia"/>
          <w:sz w:val="20"/>
          <w:szCs w:val="20"/>
        </w:rPr>
        <w:t xml:space="preserve"> were </w:t>
      </w:r>
      <w:r>
        <w:rPr>
          <w:rFonts w:ascii="Times New Roman" w:hAnsi="Times New Roman"/>
          <w:sz w:val="20"/>
          <w:szCs w:val="20"/>
        </w:rPr>
        <w:t>agreements</w:t>
      </w:r>
      <w:r>
        <w:rPr>
          <w:rFonts w:ascii="Times New Roman" w:hAnsi="Times New Roman" w:hint="eastAsia"/>
          <w:sz w:val="20"/>
          <w:szCs w:val="20"/>
        </w:rPr>
        <w:t xml:space="preserve"> </w:t>
      </w:r>
      <w:r>
        <w:rPr>
          <w:rFonts w:ascii="Times New Roman" w:hAnsi="Times New Roman"/>
          <w:sz w:val="20"/>
          <w:szCs w:val="20"/>
        </w:rPr>
        <w:t>on</w:t>
      </w:r>
      <w:r>
        <w:rPr>
          <w:rFonts w:ascii="Times New Roman" w:hAnsi="Times New Roman" w:hint="eastAsia"/>
          <w:sz w:val="20"/>
          <w:szCs w:val="20"/>
        </w:rPr>
        <w:t xml:space="preserve"> wideband operation in </w:t>
      </w:r>
      <w:fldSimple w:instr=" REF _Ref462854657 \r \h  \* MERGEFORMAT ">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fldSimple>
      <w:r>
        <w:rPr>
          <w:rFonts w:ascii="Times New Roman" w:hAnsi="Times New Roman" w:hint="eastAsia"/>
          <w:sz w:val="20"/>
          <w:szCs w:val="20"/>
        </w:rPr>
        <w:t>.</w:t>
      </w:r>
    </w:p>
    <w:tbl>
      <w:tblPr>
        <w:tblStyle w:val="TableGrid"/>
        <w:tblW w:w="0" w:type="auto"/>
        <w:tblLook w:val="04A0"/>
      </w:tblPr>
      <w:tblGrid>
        <w:gridCol w:w="9500"/>
      </w:tblGrid>
      <w:tr w:rsidR="00397E3C" w:rsidTr="00397E3C">
        <w:tc>
          <w:tcPr>
            <w:tcW w:w="9500" w:type="dxa"/>
          </w:tcPr>
          <w:p w:rsidR="00397E3C" w:rsidRDefault="00397E3C" w:rsidP="005301C7">
            <w:pPr>
              <w:spacing w:beforeLines="50" w:line="360" w:lineRule="auto"/>
              <w:rPr>
                <w:rFonts w:ascii="Times New Roman" w:eastAsia="MS Mincho" w:hAnsi="Times New Roman"/>
                <w:b/>
                <w:sz w:val="20"/>
                <w:szCs w:val="20"/>
                <w:highlight w:val="green"/>
                <w:u w:val="single"/>
                <w:lang w:eastAsia="ja-JP"/>
              </w:rPr>
            </w:pPr>
            <w:r>
              <w:rPr>
                <w:rFonts w:ascii="Times New Roman" w:eastAsia="MS Mincho" w:hAnsi="Times New Roman" w:hint="eastAsia"/>
                <w:b/>
                <w:sz w:val="20"/>
                <w:szCs w:val="20"/>
                <w:highlight w:val="green"/>
                <w:u w:val="single"/>
                <w:lang w:eastAsia="ja-JP"/>
              </w:rPr>
              <w:t>A</w:t>
            </w:r>
            <w:r>
              <w:rPr>
                <w:rFonts w:ascii="Times New Roman" w:eastAsia="MS Mincho" w:hAnsi="Times New Roman"/>
                <w:b/>
                <w:sz w:val="20"/>
                <w:szCs w:val="20"/>
                <w:highlight w:val="green"/>
                <w:u w:val="single"/>
                <w:lang w:eastAsia="ja-JP"/>
              </w:rPr>
              <w:t>greement</w:t>
            </w:r>
            <w:r>
              <w:rPr>
                <w:rFonts w:ascii="Times New Roman" w:eastAsia="MS Mincho" w:hAnsi="Times New Roman" w:hint="eastAsia"/>
                <w:b/>
                <w:sz w:val="20"/>
                <w:szCs w:val="20"/>
                <w:highlight w:val="green"/>
                <w:u w:val="single"/>
                <w:lang w:eastAsia="ja-JP"/>
              </w:rPr>
              <w:t>-1:</w:t>
            </w:r>
          </w:p>
          <w:p w:rsidR="00397E3C" w:rsidRDefault="00397E3C" w:rsidP="00397E3C">
            <w:pPr>
              <w:numPr>
                <w:ilvl w:val="0"/>
                <w:numId w:val="2"/>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In configuration of a BWP,</w:t>
            </w:r>
          </w:p>
          <w:p w:rsidR="00397E3C" w:rsidRDefault="00397E3C" w:rsidP="00397E3C">
            <w:pPr>
              <w:numPr>
                <w:ilvl w:val="1"/>
                <w:numId w:val="2"/>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 xml:space="preserve">A UE is configured with BWP in terms of PRBs. </w:t>
            </w:r>
          </w:p>
          <w:p w:rsidR="00397E3C" w:rsidRDefault="00397E3C" w:rsidP="00397E3C">
            <w:pPr>
              <w:numPr>
                <w:ilvl w:val="2"/>
                <w:numId w:val="2"/>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The offset between BWP and a reference point is implicitly or explicitly indicated to UE.</w:t>
            </w:r>
          </w:p>
          <w:p w:rsidR="00397E3C" w:rsidRDefault="00397E3C" w:rsidP="00397E3C">
            <w:pPr>
              <w:numPr>
                <w:ilvl w:val="3"/>
                <w:numId w:val="2"/>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FFS for reference point, e.g., center/boundary of NR carrier, channel number used for sync. and/or channel raster, or center/boundary of RMSI BW, center/boundary of SS block accessed during the initial access, etc.</w:t>
            </w:r>
          </w:p>
          <w:p w:rsidR="00397E3C" w:rsidRDefault="00397E3C" w:rsidP="00397E3C">
            <w:pPr>
              <w:numPr>
                <w:ilvl w:val="0"/>
                <w:numId w:val="2"/>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NR supports MU-MIMO between UEs in different (but overlapping) BWPs</w:t>
            </w:r>
          </w:p>
          <w:p w:rsidR="00397E3C" w:rsidRDefault="00397E3C" w:rsidP="005301C7">
            <w:pPr>
              <w:spacing w:beforeLines="50" w:line="360" w:lineRule="auto"/>
              <w:rPr>
                <w:rFonts w:ascii="Times New Roman" w:eastAsia="MS Mincho" w:hAnsi="Times New Roman"/>
                <w:b/>
                <w:sz w:val="20"/>
                <w:szCs w:val="20"/>
                <w:highlight w:val="green"/>
                <w:u w:val="single"/>
                <w:lang w:eastAsia="ja-JP"/>
              </w:rPr>
            </w:pPr>
            <w:r>
              <w:rPr>
                <w:rFonts w:ascii="Times New Roman" w:eastAsia="MS Mincho" w:hAnsi="Times New Roman" w:hint="eastAsia"/>
                <w:b/>
                <w:sz w:val="20"/>
                <w:szCs w:val="20"/>
                <w:highlight w:val="green"/>
                <w:u w:val="single"/>
                <w:lang w:eastAsia="ja-JP"/>
              </w:rPr>
              <w:t>Agreements-2:</w:t>
            </w:r>
          </w:p>
          <w:p w:rsidR="00397E3C" w:rsidRDefault="00397E3C" w:rsidP="00397E3C">
            <w:pPr>
              <w:numPr>
                <w:ilvl w:val="0"/>
                <w:numId w:val="3"/>
              </w:numPr>
              <w:tabs>
                <w:tab w:val="left" w:pos="20"/>
              </w:tabs>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Common PRB indexing is supported</w:t>
            </w:r>
          </w:p>
          <w:p w:rsidR="00397E3C" w:rsidRDefault="00397E3C" w:rsidP="00397E3C">
            <w:pPr>
              <w:numPr>
                <w:ilvl w:val="1"/>
                <w:numId w:val="3"/>
              </w:numPr>
              <w:tabs>
                <w:tab w:val="left" w:pos="20"/>
              </w:tabs>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 xml:space="preserve">The indexing is common to all the UEs sharing a wideband CC from network perspective, regardless of whether they are NB, CA, or WB UEs. </w:t>
            </w:r>
          </w:p>
          <w:p w:rsidR="00397E3C" w:rsidRDefault="00397E3C" w:rsidP="00397E3C">
            <w:pPr>
              <w:numPr>
                <w:ilvl w:val="1"/>
                <w:numId w:val="3"/>
              </w:numPr>
              <w:tabs>
                <w:tab w:val="left" w:pos="20"/>
              </w:tabs>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The indexing is with respect to the reference point</w:t>
            </w:r>
          </w:p>
          <w:p w:rsidR="00397E3C" w:rsidRDefault="00397E3C" w:rsidP="00397E3C">
            <w:pPr>
              <w:numPr>
                <w:ilvl w:val="1"/>
                <w:numId w:val="3"/>
              </w:numPr>
              <w:tabs>
                <w:tab w:val="left" w:pos="20"/>
              </w:tabs>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The indexing is with respect to a given numerology</w:t>
            </w:r>
          </w:p>
          <w:p w:rsidR="00397E3C" w:rsidRDefault="00397E3C" w:rsidP="00397E3C">
            <w:pPr>
              <w:numPr>
                <w:ilvl w:val="1"/>
                <w:numId w:val="3"/>
              </w:numPr>
              <w:tabs>
                <w:tab w:val="left" w:pos="20"/>
              </w:tabs>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Note: Example usage of common PRB indexing is for scheduling group common PDSCH, RS sequences, BWP configuration, etc.</w:t>
            </w:r>
          </w:p>
          <w:p w:rsidR="00397E3C" w:rsidRDefault="00397E3C" w:rsidP="00397E3C">
            <w:pPr>
              <w:numPr>
                <w:ilvl w:val="0"/>
                <w:numId w:val="3"/>
              </w:numPr>
              <w:tabs>
                <w:tab w:val="left" w:pos="20"/>
              </w:tabs>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UE-specific PRB indexing is supported</w:t>
            </w:r>
          </w:p>
          <w:p w:rsidR="00397E3C" w:rsidRDefault="00397E3C" w:rsidP="00397E3C">
            <w:pPr>
              <w:numPr>
                <w:ilvl w:val="1"/>
                <w:numId w:val="3"/>
              </w:numPr>
              <w:tabs>
                <w:tab w:val="left" w:pos="20"/>
              </w:tabs>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It is indexed per BWP with respect to the configured SCS for the BWP</w:t>
            </w:r>
          </w:p>
          <w:p w:rsidR="00397E3C" w:rsidRDefault="00397E3C" w:rsidP="00397E3C">
            <w:pPr>
              <w:numPr>
                <w:ilvl w:val="1"/>
                <w:numId w:val="3"/>
              </w:numPr>
              <w:tabs>
                <w:tab w:val="left" w:pos="20"/>
              </w:tabs>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Note: Example usage of UE-specific indexing is for scheduling UE-specific PDSCH</w:t>
            </w:r>
          </w:p>
          <w:p w:rsidR="00397E3C" w:rsidRDefault="00397E3C" w:rsidP="00397E3C">
            <w:pPr>
              <w:spacing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w:t>
            </w:r>
            <w:r>
              <w:rPr>
                <w:rFonts w:ascii="Times New Roman" w:eastAsia="MS Mincho" w:hAnsi="Times New Roman" w:hint="eastAsia"/>
                <w:b/>
                <w:sz w:val="20"/>
                <w:szCs w:val="20"/>
                <w:highlight w:val="green"/>
                <w:u w:val="single"/>
                <w:lang w:eastAsia="ja-JP"/>
              </w:rPr>
              <w:t>-3</w:t>
            </w:r>
            <w:r>
              <w:rPr>
                <w:rFonts w:ascii="Times New Roman" w:eastAsia="MS Mincho" w:hAnsi="Times New Roman"/>
                <w:b/>
                <w:sz w:val="20"/>
                <w:szCs w:val="20"/>
                <w:highlight w:val="green"/>
                <w:u w:val="single"/>
                <w:lang w:eastAsia="ja-JP"/>
              </w:rPr>
              <w:t>:</w:t>
            </w:r>
          </w:p>
          <w:p w:rsidR="00397E3C" w:rsidRDefault="00397E3C" w:rsidP="00397E3C">
            <w:pPr>
              <w:numPr>
                <w:ilvl w:val="0"/>
                <w:numId w:val="4"/>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Primary focus is to complete the single active bandwidth part case</w:t>
            </w:r>
          </w:p>
          <w:p w:rsidR="00397E3C" w:rsidRDefault="00397E3C" w:rsidP="00397E3C">
            <w:pPr>
              <w:numPr>
                <w:ilvl w:val="0"/>
                <w:numId w:val="4"/>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 xml:space="preserve">If time is available later after completing the single active bandwidth part case, following cases should be </w:t>
            </w:r>
            <w:r>
              <w:rPr>
                <w:rFonts w:ascii="Times New Roman" w:eastAsia="MS Mincho" w:hAnsi="Times New Roman"/>
                <w:sz w:val="20"/>
                <w:szCs w:val="20"/>
                <w:lang w:eastAsia="ja-JP"/>
              </w:rPr>
              <w:lastRenderedPageBreak/>
              <w:t>considered for UE</w:t>
            </w:r>
          </w:p>
          <w:p w:rsidR="00397E3C" w:rsidRDefault="00397E3C" w:rsidP="00397E3C">
            <w:pPr>
              <w:numPr>
                <w:ilvl w:val="1"/>
                <w:numId w:val="4"/>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For a single carrier WB UE, multiple active bandwidth parts with different numerologies are configured for a UE simultaneously</w:t>
            </w:r>
          </w:p>
          <w:p w:rsidR="00397E3C" w:rsidRDefault="00397E3C" w:rsidP="00397E3C">
            <w:pPr>
              <w:numPr>
                <w:ilvl w:val="2"/>
                <w:numId w:val="4"/>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 xml:space="preserve">One TB is mapped per each active BWP. </w:t>
            </w:r>
          </w:p>
          <w:p w:rsidR="00397E3C" w:rsidRDefault="00397E3C" w:rsidP="00397E3C">
            <w:pPr>
              <w:numPr>
                <w:ilvl w:val="2"/>
                <w:numId w:val="4"/>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FFS: The multiple active BWPs may overlap in frequency domain.</w:t>
            </w:r>
          </w:p>
          <w:p w:rsidR="00397E3C" w:rsidRDefault="00397E3C" w:rsidP="00397E3C">
            <w:pPr>
              <w:numPr>
                <w:ilvl w:val="2"/>
                <w:numId w:val="4"/>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FFS: Cross-BWP scheduling is supported.</w:t>
            </w:r>
          </w:p>
          <w:p w:rsidR="00397E3C" w:rsidRDefault="00397E3C" w:rsidP="005301C7">
            <w:pPr>
              <w:spacing w:beforeLines="50" w:line="360" w:lineRule="auto"/>
              <w:rPr>
                <w:rFonts w:ascii="Times New Roman" w:eastAsia="MS Mincho" w:hAnsi="Times New Roman"/>
                <w:b/>
                <w:sz w:val="20"/>
                <w:szCs w:val="20"/>
                <w:highlight w:val="green"/>
                <w:u w:val="single"/>
                <w:lang w:eastAsia="ja-JP"/>
              </w:rPr>
            </w:pPr>
            <w:r>
              <w:rPr>
                <w:rFonts w:ascii="Times New Roman" w:eastAsia="MS Mincho" w:hAnsi="Times New Roman" w:hint="eastAsia"/>
                <w:b/>
                <w:sz w:val="20"/>
                <w:szCs w:val="20"/>
                <w:highlight w:val="green"/>
                <w:u w:val="single"/>
                <w:lang w:eastAsia="ja-JP"/>
              </w:rPr>
              <w:t>Agreements-4:</w:t>
            </w:r>
          </w:p>
          <w:p w:rsidR="00397E3C" w:rsidRDefault="00397E3C" w:rsidP="00397E3C">
            <w:pPr>
              <w:numPr>
                <w:ilvl w:val="0"/>
                <w:numId w:val="5"/>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Usage scenario #4 in R1-1711795 is supported in the context of non-contiguous intra-band carrier aggregation</w:t>
            </w:r>
          </w:p>
          <w:p w:rsidR="00397E3C" w:rsidRDefault="00397E3C" w:rsidP="00397E3C">
            <w:pPr>
              <w:numPr>
                <w:ilvl w:val="1"/>
                <w:numId w:val="5"/>
              </w:numPr>
              <w:spacing w:after="0" w:line="360" w:lineRule="auto"/>
              <w:rPr>
                <w:rFonts w:ascii="Times New Roman" w:eastAsia="MS Mincho" w:hAnsi="Times New Roman"/>
                <w:sz w:val="20"/>
                <w:szCs w:val="20"/>
                <w:lang w:eastAsia="ja-JP"/>
              </w:rPr>
            </w:pPr>
            <w:r>
              <w:rPr>
                <w:rFonts w:ascii="Times New Roman" w:eastAsia="MS Mincho" w:hAnsi="Times New Roman"/>
                <w:sz w:val="20"/>
                <w:szCs w:val="20"/>
                <w:lang w:eastAsia="ja-JP"/>
              </w:rPr>
              <w:t>Carrier without SS block can be configured for some UEs</w:t>
            </w:r>
          </w:p>
          <w:p w:rsidR="00397E3C" w:rsidRDefault="00397E3C" w:rsidP="005301C7">
            <w:pPr>
              <w:spacing w:beforeLines="50" w:line="360" w:lineRule="auto"/>
              <w:rPr>
                <w:rFonts w:ascii="Times New Roman" w:eastAsia="MS Mincho" w:hAnsi="Times New Roman"/>
                <w:b/>
                <w:sz w:val="20"/>
                <w:szCs w:val="20"/>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hint="eastAsia"/>
                <w:b/>
                <w:sz w:val="20"/>
                <w:szCs w:val="20"/>
                <w:highlight w:val="green"/>
                <w:u w:val="single"/>
              </w:rPr>
              <w:t>-5</w:t>
            </w:r>
            <w:r>
              <w:rPr>
                <w:rFonts w:ascii="Times New Roman" w:eastAsia="MS Mincho" w:hAnsi="Times New Roman"/>
                <w:b/>
                <w:sz w:val="20"/>
                <w:szCs w:val="20"/>
                <w:highlight w:val="green"/>
                <w:u w:val="single"/>
                <w:lang w:eastAsia="ja-JP"/>
              </w:rPr>
              <w:t>:</w:t>
            </w:r>
          </w:p>
          <w:p w:rsidR="00397E3C" w:rsidRDefault="00397E3C" w:rsidP="00397E3C">
            <w:pPr>
              <w:numPr>
                <w:ilvl w:val="0"/>
                <w:numId w:val="6"/>
              </w:numPr>
              <w:spacing w:after="0" w:line="360" w:lineRule="auto"/>
              <w:rPr>
                <w:rFonts w:ascii="Times New Roman" w:eastAsia="游明朝" w:hAnsi="Times New Roman"/>
                <w:iCs/>
                <w:sz w:val="20"/>
                <w:szCs w:val="20"/>
                <w:lang w:eastAsia="ja-JP"/>
              </w:rPr>
            </w:pPr>
            <w:bookmarkStart w:id="4" w:name="OLE_LINK1"/>
            <w:r>
              <w:rPr>
                <w:rFonts w:ascii="Times New Roman" w:eastAsia="游明朝" w:hAnsi="Times New Roman"/>
                <w:iCs/>
                <w:sz w:val="20"/>
                <w:szCs w:val="20"/>
                <w:lang w:eastAsia="ja-JP"/>
              </w:rPr>
              <w:t>For PDSCH/PUSCH, the RBG size/number can be changed along with the change of the BWP used for resource allocation.</w:t>
            </w:r>
          </w:p>
          <w:p w:rsidR="00397E3C" w:rsidRDefault="00397E3C" w:rsidP="00397E3C">
            <w:pPr>
              <w:numPr>
                <w:ilvl w:val="0"/>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FFS: If one or multiple of following option(s) is/are also used for RBG size/number determination:</w:t>
            </w:r>
          </w:p>
          <w:p w:rsidR="00397E3C" w:rsidRDefault="00397E3C" w:rsidP="00397E3C">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 xml:space="preserve">Opt. 1: Semi-statically configured size of Type0 RA bitmap. </w:t>
            </w:r>
          </w:p>
          <w:p w:rsidR="00397E3C" w:rsidRDefault="00397E3C" w:rsidP="00397E3C">
            <w:pPr>
              <w:numPr>
                <w:ilvl w:val="2"/>
                <w:numId w:val="6"/>
              </w:numPr>
              <w:tabs>
                <w:tab w:val="left" w:pos="2160"/>
              </w:tabs>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Number and size of RBGs for a RA is determined based on size of BWP and the size of the bitmap.</w:t>
            </w:r>
          </w:p>
          <w:p w:rsidR="00397E3C" w:rsidRDefault="00397E3C" w:rsidP="00397E3C">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Opt. 2: Semi-statically configured RBG size(s) per BWP for deriving number of RBGs.</w:t>
            </w:r>
          </w:p>
          <w:p w:rsidR="00397E3C" w:rsidRDefault="00397E3C" w:rsidP="00397E3C">
            <w:pPr>
              <w:numPr>
                <w:ilvl w:val="2"/>
                <w:numId w:val="6"/>
              </w:numPr>
              <w:tabs>
                <w:tab w:val="left" w:pos="2160"/>
              </w:tabs>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 xml:space="preserve">Number of RBGs in the BWP is determined by size of the BWP and the configured/indicated RBG size(s). </w:t>
            </w:r>
          </w:p>
          <w:p w:rsidR="00397E3C" w:rsidRDefault="00397E3C" w:rsidP="00397E3C">
            <w:pPr>
              <w:numPr>
                <w:ilvl w:val="2"/>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 xml:space="preserve">FFS: Dynamic switching of RBG size(s). </w:t>
            </w:r>
          </w:p>
          <w:p w:rsidR="00397E3C" w:rsidRDefault="00397E3C" w:rsidP="00397E3C">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Opt. 3: DCI format/DCI format size (e.g. a compact DCI may be with a larger RBG size than a normal DCI).</w:t>
            </w:r>
          </w:p>
          <w:p w:rsidR="00397E3C" w:rsidRDefault="00397E3C" w:rsidP="00397E3C">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Opt. 4: Transmission durations (e.g. a shorter-duration transmission may be with a larger RBG size than a longer one).</w:t>
            </w:r>
          </w:p>
          <w:p w:rsidR="00397E3C" w:rsidRDefault="00397E3C" w:rsidP="00397E3C">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Opt. 5: RBG size is determined depending on the size of the BWP.</w:t>
            </w:r>
          </w:p>
          <w:p w:rsidR="00397E3C" w:rsidRPr="00397E3C" w:rsidRDefault="00397E3C" w:rsidP="00397E3C">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Other options are not precluded.</w:t>
            </w:r>
            <w:bookmarkEnd w:id="4"/>
          </w:p>
        </w:tc>
      </w:tr>
    </w:tbl>
    <w:p w:rsidR="00397E3C" w:rsidRDefault="00397E3C">
      <w:pPr>
        <w:snapToGrid w:val="0"/>
        <w:spacing w:before="120" w:after="120" w:line="360" w:lineRule="auto"/>
        <w:jc w:val="both"/>
        <w:rPr>
          <w:rFonts w:ascii="Times New Roman" w:hAnsi="Times New Roman"/>
          <w:sz w:val="20"/>
          <w:szCs w:val="20"/>
        </w:rPr>
      </w:pPr>
    </w:p>
    <w:p w:rsidR="00D47A48"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beforeLines="50" w:afterLines="50" w:line="360" w:lineRule="auto"/>
        <w:jc w:val="both"/>
        <w:rPr>
          <w:rFonts w:ascii="Times New Roman" w:hAnsi="Times New Roman"/>
          <w:sz w:val="20"/>
          <w:szCs w:val="20"/>
        </w:rPr>
      </w:pPr>
      <w:r>
        <w:rPr>
          <w:rFonts w:ascii="Times New Roman" w:hAnsi="Times New Roman" w:hint="eastAsia"/>
          <w:sz w:val="20"/>
          <w:szCs w:val="20"/>
        </w:rPr>
        <w:t xml:space="preserve">From agreement-1, we can observe that </w:t>
      </w:r>
      <w:r w:rsidR="00397E3C">
        <w:rPr>
          <w:rFonts w:ascii="Times New Roman" w:hAnsi="Times New Roman"/>
          <w:sz w:val="20"/>
          <w:szCs w:val="20"/>
        </w:rPr>
        <w:t xml:space="preserve">the </w:t>
      </w:r>
      <w:r>
        <w:rPr>
          <w:rFonts w:ascii="Times New Roman" w:hAnsi="Times New Roman" w:hint="eastAsia"/>
          <w:sz w:val="20"/>
          <w:szCs w:val="20"/>
        </w:rPr>
        <w:t>b</w:t>
      </w:r>
      <w:r>
        <w:rPr>
          <w:rFonts w:ascii="Times New Roman" w:hAnsi="Times New Roman"/>
          <w:sz w:val="20"/>
          <w:szCs w:val="20"/>
        </w:rPr>
        <w:t>oundary</w:t>
      </w:r>
      <w:r>
        <w:rPr>
          <w:rFonts w:ascii="Times New Roman" w:hAnsi="Times New Roman" w:hint="eastAsia"/>
          <w:sz w:val="20"/>
          <w:szCs w:val="20"/>
        </w:rPr>
        <w:t xml:space="preserve"> of</w:t>
      </w:r>
      <w:r>
        <w:rPr>
          <w:rFonts w:ascii="Times New Roman" w:hAnsi="Times New Roman"/>
          <w:sz w:val="20"/>
          <w:szCs w:val="20"/>
        </w:rPr>
        <w:t xml:space="preserve"> any</w:t>
      </w:r>
      <w:r>
        <w:rPr>
          <w:rFonts w:ascii="Times New Roman" w:hAnsi="Times New Roman" w:hint="eastAsia"/>
          <w:sz w:val="20"/>
          <w:szCs w:val="20"/>
        </w:rPr>
        <w:t xml:space="preserve"> </w:t>
      </w:r>
      <w:r>
        <w:rPr>
          <w:rFonts w:ascii="Times New Roman" w:hAnsi="Times New Roman"/>
          <w:sz w:val="20"/>
          <w:szCs w:val="20"/>
        </w:rPr>
        <w:t>bandwidth part</w:t>
      </w:r>
      <w:r>
        <w:rPr>
          <w:rFonts w:ascii="Times New Roman" w:hAnsi="Times New Roman" w:hint="eastAsia"/>
          <w:sz w:val="20"/>
          <w:szCs w:val="20"/>
        </w:rPr>
        <w:t xml:space="preserve"> should be aligned with </w:t>
      </w:r>
      <w:r w:rsidR="00397E3C">
        <w:rPr>
          <w:rFonts w:ascii="Times New Roman" w:hAnsi="Times New Roman"/>
          <w:sz w:val="20"/>
          <w:szCs w:val="20"/>
        </w:rPr>
        <w:t xml:space="preserve">PRB </w:t>
      </w:r>
      <w:r>
        <w:rPr>
          <w:rFonts w:ascii="Times New Roman" w:hAnsi="Times New Roman"/>
          <w:sz w:val="20"/>
          <w:szCs w:val="20"/>
        </w:rPr>
        <w:t>boundary</w:t>
      </w:r>
      <w:r>
        <w:rPr>
          <w:rFonts w:ascii="Times New Roman" w:hAnsi="Times New Roman" w:hint="eastAsia"/>
          <w:sz w:val="20"/>
          <w:szCs w:val="20"/>
        </w:rPr>
        <w:t>. One related issue is how to divide and how to configure</w:t>
      </w:r>
      <w:r>
        <w:rPr>
          <w:rFonts w:ascii="Times New Roman" w:hAnsi="Times New Roman"/>
          <w:sz w:val="20"/>
          <w:szCs w:val="20"/>
        </w:rPr>
        <w:t xml:space="preserve"> </w:t>
      </w:r>
      <w:r w:rsidR="00397E3C">
        <w:rPr>
          <w:rFonts w:ascii="Times New Roman" w:hAnsi="Times New Roman"/>
          <w:sz w:val="20"/>
          <w:szCs w:val="20"/>
        </w:rPr>
        <w:t xml:space="preserve">the </w:t>
      </w:r>
      <w:r>
        <w:rPr>
          <w:rFonts w:ascii="Times New Roman" w:hAnsi="Times New Roman"/>
          <w:sz w:val="20"/>
          <w:szCs w:val="20"/>
        </w:rPr>
        <w:t>bandwidth part</w:t>
      </w:r>
      <w:r>
        <w:rPr>
          <w:rFonts w:ascii="Times New Roman" w:hAnsi="Times New Roman" w:hint="eastAsia"/>
          <w:sz w:val="20"/>
          <w:szCs w:val="20"/>
        </w:rPr>
        <w:t xml:space="preserve"> e</w:t>
      </w:r>
      <w:r>
        <w:rPr>
          <w:rFonts w:ascii="Times New Roman" w:hAnsi="Times New Roman"/>
          <w:sz w:val="20"/>
          <w:szCs w:val="20"/>
        </w:rPr>
        <w:t>fficient</w:t>
      </w:r>
      <w:r>
        <w:rPr>
          <w:rFonts w:ascii="Times New Roman" w:hAnsi="Times New Roman" w:hint="eastAsia"/>
          <w:sz w:val="20"/>
          <w:szCs w:val="20"/>
        </w:rPr>
        <w:t xml:space="preserve">ly </w:t>
      </w:r>
      <w:r>
        <w:rPr>
          <w:rFonts w:ascii="Times New Roman" w:hAnsi="Times New Roman"/>
          <w:sz w:val="20"/>
          <w:szCs w:val="20"/>
        </w:rPr>
        <w:t>within a wideband NR carrier</w:t>
      </w:r>
      <w:r>
        <w:rPr>
          <w:rFonts w:ascii="Times New Roman" w:hAnsi="Times New Roman" w:hint="eastAsia"/>
          <w:sz w:val="20"/>
          <w:szCs w:val="20"/>
        </w:rPr>
        <w:t>. In addition, whether</w:t>
      </w:r>
      <w:r>
        <w:rPr>
          <w:rFonts w:ascii="Times New Roman" w:eastAsia="MS Mincho" w:hAnsi="Times New Roman"/>
          <w:sz w:val="20"/>
          <w:szCs w:val="20"/>
          <w:lang w:eastAsia="ja-JP"/>
        </w:rPr>
        <w:t xml:space="preserve"> multiple bandwidth parts </w:t>
      </w:r>
      <w:r>
        <w:rPr>
          <w:rFonts w:ascii="Times New Roman" w:hAnsi="Times New Roman" w:hint="eastAsia"/>
          <w:sz w:val="20"/>
          <w:szCs w:val="20"/>
        </w:rPr>
        <w:t xml:space="preserve">can be </w:t>
      </w:r>
      <w:r>
        <w:rPr>
          <w:rFonts w:ascii="Times New Roman" w:hAnsi="Times New Roman"/>
          <w:sz w:val="20"/>
          <w:szCs w:val="20"/>
        </w:rPr>
        <w:t>activate</w:t>
      </w:r>
      <w:r>
        <w:rPr>
          <w:rFonts w:ascii="Times New Roman" w:hAnsi="Times New Roman" w:hint="eastAsia"/>
          <w:sz w:val="20"/>
          <w:szCs w:val="20"/>
        </w:rPr>
        <w:t>d</w:t>
      </w:r>
      <w:r>
        <w:rPr>
          <w:rFonts w:ascii="Times New Roman" w:eastAsia="MS Mincho" w:hAnsi="Times New Roman"/>
          <w:sz w:val="20"/>
          <w:szCs w:val="20"/>
          <w:lang w:eastAsia="ja-JP"/>
        </w:rPr>
        <w:t> for a UE simultaneously</w:t>
      </w:r>
      <w:r>
        <w:rPr>
          <w:rFonts w:ascii="Times New Roman" w:hAnsi="Times New Roman" w:hint="eastAsia"/>
          <w:sz w:val="20"/>
          <w:szCs w:val="20"/>
        </w:rPr>
        <w:t xml:space="preserve"> and</w:t>
      </w:r>
      <w:r w:rsidR="00397E3C">
        <w:rPr>
          <w:rFonts w:ascii="Times New Roman" w:hAnsi="Times New Roman"/>
          <w:sz w:val="20"/>
          <w:szCs w:val="20"/>
        </w:rPr>
        <w:t xml:space="preserve"> a</w:t>
      </w:r>
      <w:r>
        <w:rPr>
          <w:rFonts w:ascii="Times New Roman" w:hAnsi="Times New Roman" w:hint="eastAsia"/>
          <w:sz w:val="20"/>
          <w:szCs w:val="20"/>
        </w:rPr>
        <w:t xml:space="preserve"> </w:t>
      </w:r>
      <w:r>
        <w:rPr>
          <w:rFonts w:ascii="Times New Roman" w:eastAsia="MS Mincho" w:hAnsi="Times New Roman"/>
          <w:sz w:val="20"/>
          <w:szCs w:val="20"/>
          <w:lang w:eastAsia="ja-JP"/>
        </w:rPr>
        <w:t xml:space="preserve">necessary mechanism to enable </w:t>
      </w:r>
      <w:r w:rsidR="00397E3C">
        <w:rPr>
          <w:rFonts w:ascii="Times New Roman" w:eastAsia="MS Mincho" w:hAnsi="Times New Roman"/>
          <w:sz w:val="20"/>
          <w:szCs w:val="20"/>
          <w:lang w:eastAsia="ja-JP"/>
        </w:rPr>
        <w:t xml:space="preserve">the </w:t>
      </w:r>
      <w:r>
        <w:rPr>
          <w:rFonts w:ascii="Times New Roman" w:eastAsia="MS Mincho" w:hAnsi="Times New Roman"/>
          <w:sz w:val="20"/>
          <w:szCs w:val="20"/>
          <w:lang w:eastAsia="ja-JP"/>
        </w:rPr>
        <w:t>UE RF retuning for bandwidth part switching</w:t>
      </w:r>
      <w:r>
        <w:rPr>
          <w:rFonts w:ascii="Times New Roman" w:hAnsi="Times New Roman" w:hint="eastAsia"/>
          <w:sz w:val="20"/>
          <w:szCs w:val="20"/>
        </w:rPr>
        <w:t xml:space="preserve"> should be considered. From agreement-5, five options need to be </w:t>
      </w:r>
      <w:r w:rsidR="00397E3C">
        <w:rPr>
          <w:rFonts w:ascii="Times New Roman" w:hAnsi="Times New Roman"/>
          <w:sz w:val="20"/>
          <w:szCs w:val="20"/>
        </w:rPr>
        <w:t>down-</w:t>
      </w:r>
      <w:r>
        <w:rPr>
          <w:rFonts w:ascii="Times New Roman" w:hAnsi="Times New Roman" w:hint="eastAsia"/>
          <w:sz w:val="20"/>
          <w:szCs w:val="20"/>
        </w:rPr>
        <w:t>selected. In this contribution, we will analy</w:t>
      </w:r>
      <w:r w:rsidR="004C7753">
        <w:rPr>
          <w:rFonts w:ascii="Times New Roman" w:hAnsi="Times New Roman" w:hint="eastAsia"/>
          <w:sz w:val="20"/>
          <w:szCs w:val="20"/>
        </w:rPr>
        <w:t>ze</w:t>
      </w:r>
      <w:r>
        <w:rPr>
          <w:rFonts w:ascii="Times New Roman" w:hAnsi="Times New Roman" w:hint="eastAsia"/>
          <w:sz w:val="20"/>
          <w:szCs w:val="20"/>
        </w:rPr>
        <w:t xml:space="preserve"> them and give some observations and proposals.</w:t>
      </w:r>
    </w:p>
    <w:p w:rsidR="00C142A2" w:rsidRDefault="00C142A2" w:rsidP="005301C7">
      <w:pPr>
        <w:tabs>
          <w:tab w:val="left" w:pos="-720"/>
          <w:tab w:val="left" w:pos="0"/>
          <w:tab w:val="left" w:pos="993"/>
          <w:tab w:val="left" w:pos="2160"/>
          <w:tab w:val="left" w:pos="2880"/>
          <w:tab w:val="left" w:pos="3600"/>
          <w:tab w:val="left" w:pos="4320"/>
        </w:tabs>
        <w:autoSpaceDE w:val="0"/>
        <w:autoSpaceDN w:val="0"/>
        <w:adjustRightInd w:val="0"/>
        <w:spacing w:beforeLines="50" w:afterLines="50" w:line="360" w:lineRule="auto"/>
        <w:jc w:val="both"/>
        <w:rPr>
          <w:rFonts w:ascii="Times New Roman" w:hAnsi="Times New Roman"/>
          <w:sz w:val="20"/>
          <w:szCs w:val="20"/>
        </w:rPr>
      </w:pPr>
    </w:p>
    <w:p w:rsidR="00020E47" w:rsidRDefault="00DA2A06" w:rsidP="005301C7">
      <w:pPr>
        <w:pStyle w:val="Heading1"/>
        <w:spacing w:beforeLines="100" w:line="360" w:lineRule="auto"/>
        <w:ind w:left="431" w:hanging="431"/>
        <w:rPr>
          <w:sz w:val="32"/>
          <w:lang w:val="en-US"/>
        </w:rPr>
      </w:pPr>
      <w:r>
        <w:rPr>
          <w:rFonts w:hint="eastAsia"/>
          <w:sz w:val="32"/>
          <w:lang w:val="en-US"/>
        </w:rPr>
        <w:lastRenderedPageBreak/>
        <w:t>Discussion</w:t>
      </w:r>
    </w:p>
    <w:p w:rsidR="00815DCE" w:rsidRDefault="00DA2A06">
      <w:pPr>
        <w:pStyle w:val="Heading2"/>
        <w:spacing w:line="360" w:lineRule="auto"/>
        <w:ind w:left="567"/>
        <w:jc w:val="both"/>
        <w:rPr>
          <w:rFonts w:ascii="Arial" w:hAnsi="Arial"/>
          <w:sz w:val="28"/>
          <w:szCs w:val="28"/>
        </w:rPr>
      </w:pPr>
      <w:r>
        <w:rPr>
          <w:rFonts w:ascii="Arial" w:hAnsi="Arial" w:hint="eastAsia"/>
          <w:sz w:val="28"/>
          <w:szCs w:val="28"/>
        </w:rPr>
        <w:t>Configuration of b</w:t>
      </w:r>
      <w:r>
        <w:rPr>
          <w:rFonts w:ascii="Arial" w:hAnsi="Arial"/>
          <w:sz w:val="28"/>
          <w:szCs w:val="28"/>
        </w:rPr>
        <w:t>andwidth part</w:t>
      </w:r>
    </w:p>
    <w:p w:rsidR="00815DCE"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For different numerolog</w:t>
      </w:r>
      <w:r w:rsidR="00397E3C">
        <w:rPr>
          <w:rFonts w:ascii="Times New Roman" w:hAnsi="Times New Roman"/>
          <w:sz w:val="20"/>
          <w:szCs w:val="20"/>
        </w:rPr>
        <w:t>ies</w:t>
      </w:r>
      <w:r>
        <w:rPr>
          <w:rFonts w:ascii="Times New Roman" w:hAnsi="Times New Roman" w:hint="eastAsia"/>
          <w:sz w:val="20"/>
          <w:szCs w:val="20"/>
        </w:rPr>
        <w:t xml:space="preserve"> </w:t>
      </w:r>
      <w:r>
        <w:rPr>
          <w:rFonts w:ascii="Times New Roman" w:hAnsi="Times New Roman"/>
          <w:sz w:val="20"/>
          <w:szCs w:val="20"/>
        </w:rPr>
        <w:t>within a wideband NR carrier</w:t>
      </w:r>
      <w:r>
        <w:rPr>
          <w:rFonts w:ascii="Times New Roman" w:hAnsi="Times New Roman" w:hint="eastAsia"/>
          <w:sz w:val="20"/>
          <w:szCs w:val="20"/>
        </w:rPr>
        <w:t xml:space="preserve">, some agreements are made. </w:t>
      </w:r>
      <w:r w:rsidR="00397E3C">
        <w:rPr>
          <w:rFonts w:ascii="Times New Roman" w:hAnsi="Times New Roman"/>
          <w:sz w:val="20"/>
          <w:szCs w:val="20"/>
        </w:rPr>
        <w:t>For example,</w:t>
      </w:r>
      <w:r>
        <w:rPr>
          <w:rFonts w:ascii="Times New Roman" w:hAnsi="Times New Roman" w:hint="eastAsia"/>
          <w:sz w:val="20"/>
          <w:szCs w:val="20"/>
        </w:rPr>
        <w:t xml:space="preserve"> </w:t>
      </w:r>
      <w:r w:rsidR="00397E3C">
        <w:rPr>
          <w:rFonts w:ascii="Times New Roman" w:hAnsi="Times New Roman"/>
          <w:sz w:val="20"/>
          <w:szCs w:val="20"/>
        </w:rPr>
        <w:t xml:space="preserve">the </w:t>
      </w:r>
      <w:r>
        <w:rPr>
          <w:rFonts w:ascii="Times New Roman" w:hAnsi="Times New Roman" w:hint="eastAsia"/>
          <w:sz w:val="20"/>
          <w:szCs w:val="20"/>
        </w:rPr>
        <w:t>s</w:t>
      </w:r>
      <w:r>
        <w:rPr>
          <w:rFonts w:ascii="Times New Roman" w:eastAsia="MS Mincho" w:hAnsi="Times New Roman"/>
          <w:sz w:val="20"/>
          <w:szCs w:val="20"/>
          <w:lang w:eastAsia="ja-JP"/>
        </w:rPr>
        <w:t>ame PRB grid structure for a given numerology is assumed for narrow band UEs, CA UEs and wideband UEs</w:t>
      </w:r>
      <w:r>
        <w:rPr>
          <w:rFonts w:ascii="Times New Roman" w:hAnsi="Times New Roman" w:hint="eastAsia"/>
          <w:sz w:val="20"/>
          <w:szCs w:val="20"/>
        </w:rPr>
        <w:t xml:space="preserve"> </w:t>
      </w:r>
      <w:r>
        <w:rPr>
          <w:rFonts w:ascii="Times New Roman" w:hAnsi="Times New Roman"/>
          <w:sz w:val="20"/>
          <w:szCs w:val="20"/>
        </w:rPr>
        <w:t>within a wideband NR carrier</w:t>
      </w:r>
      <w:r>
        <w:rPr>
          <w:rFonts w:ascii="Times New Roman" w:hAnsi="Times New Roman" w:hint="eastAsia"/>
          <w:sz w:val="20"/>
          <w:szCs w:val="20"/>
        </w:rPr>
        <w:t>. This means</w:t>
      </w:r>
      <w:r w:rsidR="00397E3C">
        <w:rPr>
          <w:rFonts w:ascii="Times New Roman" w:hAnsi="Times New Roman"/>
          <w:sz w:val="20"/>
          <w:szCs w:val="20"/>
        </w:rPr>
        <w:t xml:space="preserve"> the </w:t>
      </w:r>
      <w:r>
        <w:rPr>
          <w:rFonts w:ascii="Times New Roman" w:hAnsi="Times New Roman" w:hint="eastAsia"/>
          <w:sz w:val="20"/>
          <w:szCs w:val="20"/>
        </w:rPr>
        <w:t>PRB grid should be also ha</w:t>
      </w:r>
      <w:r w:rsidR="00397E3C">
        <w:rPr>
          <w:rFonts w:ascii="Times New Roman" w:hAnsi="Times New Roman"/>
          <w:sz w:val="20"/>
          <w:szCs w:val="20"/>
        </w:rPr>
        <w:t>ve a</w:t>
      </w:r>
      <w:r>
        <w:rPr>
          <w:rFonts w:ascii="Times New Roman" w:hAnsi="Times New Roman" w:hint="eastAsia"/>
          <w:sz w:val="20"/>
          <w:szCs w:val="20"/>
        </w:rPr>
        <w:t xml:space="preserve"> nest</w:t>
      </w:r>
      <w:r>
        <w:rPr>
          <w:rFonts w:ascii="Times New Roman" w:hAnsi="Times New Roman"/>
          <w:sz w:val="20"/>
          <w:szCs w:val="20"/>
        </w:rPr>
        <w:t>ed</w:t>
      </w:r>
      <w:r>
        <w:rPr>
          <w:rFonts w:ascii="Times New Roman" w:hAnsi="Times New Roman" w:hint="eastAsia"/>
          <w:sz w:val="20"/>
          <w:szCs w:val="20"/>
        </w:rPr>
        <w:t xml:space="preserve"> </w:t>
      </w:r>
      <w:r>
        <w:rPr>
          <w:rFonts w:ascii="Times New Roman" w:hAnsi="Times New Roman"/>
          <w:sz w:val="20"/>
          <w:szCs w:val="20"/>
        </w:rPr>
        <w:t>structure</w:t>
      </w:r>
      <w:r>
        <w:rPr>
          <w:rFonts w:ascii="Times New Roman" w:hAnsi="Times New Roman" w:hint="eastAsia"/>
          <w:sz w:val="20"/>
          <w:szCs w:val="20"/>
        </w:rPr>
        <w:t xml:space="preserve"> in a certain bandwidth part. To k</w:t>
      </w:r>
      <w:r>
        <w:rPr>
          <w:rFonts w:ascii="Times New Roman" w:hAnsi="Times New Roman"/>
          <w:sz w:val="20"/>
          <w:szCs w:val="20"/>
        </w:rPr>
        <w:t>eep this rule</w:t>
      </w:r>
      <w:r>
        <w:rPr>
          <w:rFonts w:ascii="Times New Roman" w:hAnsi="Times New Roman" w:hint="eastAsia"/>
          <w:sz w:val="20"/>
          <w:szCs w:val="20"/>
        </w:rPr>
        <w:t xml:space="preserve"> and </w:t>
      </w:r>
      <w:r w:rsidR="00397E3C">
        <w:rPr>
          <w:rFonts w:ascii="Times New Roman" w:hAnsi="Times New Roman"/>
          <w:sz w:val="20"/>
          <w:szCs w:val="20"/>
        </w:rPr>
        <w:t xml:space="preserve">to </w:t>
      </w:r>
      <w:r>
        <w:rPr>
          <w:rFonts w:ascii="Times New Roman" w:hAnsi="Times New Roman" w:hint="eastAsia"/>
          <w:sz w:val="20"/>
          <w:szCs w:val="20"/>
        </w:rPr>
        <w:t>reduce</w:t>
      </w:r>
      <w:r w:rsidR="00397E3C">
        <w:rPr>
          <w:rFonts w:ascii="Times New Roman" w:hAnsi="Times New Roman"/>
          <w:sz w:val="20"/>
          <w:szCs w:val="20"/>
        </w:rPr>
        <w:t xml:space="preserve"> the impact</w:t>
      </w:r>
      <w:r>
        <w:rPr>
          <w:rFonts w:ascii="Times New Roman" w:hAnsi="Times New Roman" w:hint="eastAsia"/>
          <w:sz w:val="20"/>
          <w:szCs w:val="20"/>
        </w:rPr>
        <w:t xml:space="preserve"> </w:t>
      </w:r>
      <w:r w:rsidR="00397E3C">
        <w:rPr>
          <w:rFonts w:ascii="Times New Roman" w:hAnsi="Times New Roman"/>
          <w:sz w:val="20"/>
          <w:szCs w:val="20"/>
        </w:rPr>
        <w:t>when</w:t>
      </w:r>
      <w:r>
        <w:rPr>
          <w:rFonts w:ascii="Times New Roman" w:hAnsi="Times New Roman" w:hint="eastAsia"/>
          <w:sz w:val="20"/>
          <w:szCs w:val="20"/>
        </w:rPr>
        <w:t xml:space="preserve"> scheduling data corresponding </w:t>
      </w:r>
      <w:r w:rsidR="00397E3C">
        <w:rPr>
          <w:rFonts w:ascii="Times New Roman" w:hAnsi="Times New Roman"/>
          <w:sz w:val="20"/>
          <w:szCs w:val="20"/>
        </w:rPr>
        <w:t>with</w:t>
      </w:r>
      <w:r>
        <w:rPr>
          <w:rFonts w:ascii="Times New Roman" w:hAnsi="Times New Roman" w:hint="eastAsia"/>
          <w:sz w:val="20"/>
          <w:szCs w:val="20"/>
        </w:rPr>
        <w:t xml:space="preserve"> larger SCS, related issue</w:t>
      </w:r>
      <w:r>
        <w:rPr>
          <w:rFonts w:ascii="Times New Roman" w:hAnsi="Times New Roman"/>
          <w:sz w:val="20"/>
          <w:szCs w:val="20"/>
        </w:rPr>
        <w:t>s</w:t>
      </w:r>
      <w:r>
        <w:rPr>
          <w:rFonts w:ascii="Times New Roman" w:hAnsi="Times New Roman" w:hint="eastAsia"/>
          <w:sz w:val="20"/>
          <w:szCs w:val="20"/>
        </w:rPr>
        <w:t xml:space="preserve"> should be considered. </w:t>
      </w:r>
      <w:r>
        <w:rPr>
          <w:rFonts w:ascii="Times New Roman" w:hAnsi="Times New Roman"/>
          <w:sz w:val="20"/>
          <w:szCs w:val="20"/>
        </w:rPr>
        <w:t>T</w:t>
      </w:r>
      <w:r>
        <w:rPr>
          <w:rFonts w:ascii="Times New Roman" w:hAnsi="Times New Roman" w:hint="eastAsia"/>
          <w:sz w:val="20"/>
          <w:szCs w:val="20"/>
        </w:rPr>
        <w:t xml:space="preserve">his </w:t>
      </w:r>
      <w:r>
        <w:rPr>
          <w:rFonts w:ascii="Times New Roman" w:hAnsi="Times New Roman"/>
          <w:sz w:val="20"/>
          <w:szCs w:val="20"/>
        </w:rPr>
        <w:t>section</w:t>
      </w:r>
      <w:r>
        <w:rPr>
          <w:rFonts w:ascii="Times New Roman" w:hAnsi="Times New Roman" w:hint="eastAsia"/>
          <w:sz w:val="20"/>
          <w:szCs w:val="20"/>
        </w:rPr>
        <w:t xml:space="preserve"> discuss</w:t>
      </w:r>
      <w:r>
        <w:rPr>
          <w:rFonts w:ascii="Times New Roman" w:hAnsi="Times New Roman"/>
          <w:sz w:val="20"/>
          <w:szCs w:val="20"/>
        </w:rPr>
        <w:t>es</w:t>
      </w:r>
      <w:r>
        <w:rPr>
          <w:rFonts w:ascii="Times New Roman" w:hAnsi="Times New Roman" w:hint="eastAsia"/>
          <w:sz w:val="20"/>
          <w:szCs w:val="20"/>
        </w:rPr>
        <w:t xml:space="preserve"> how to divide and how to configure</w:t>
      </w:r>
      <w:r>
        <w:rPr>
          <w:rFonts w:ascii="Times New Roman" w:hAnsi="Times New Roman"/>
          <w:sz w:val="20"/>
          <w:szCs w:val="20"/>
        </w:rPr>
        <w:t xml:space="preserve"> bandwidth part</w:t>
      </w:r>
      <w:r w:rsidR="00397E3C">
        <w:rPr>
          <w:rFonts w:ascii="Times New Roman" w:hAnsi="Times New Roman"/>
          <w:sz w:val="20"/>
          <w:szCs w:val="20"/>
        </w:rPr>
        <w:t>s</w:t>
      </w:r>
      <w:r>
        <w:rPr>
          <w:rFonts w:ascii="Times New Roman" w:hAnsi="Times New Roman" w:hint="eastAsia"/>
          <w:sz w:val="20"/>
          <w:szCs w:val="20"/>
        </w:rPr>
        <w:t xml:space="preserve"> e</w:t>
      </w:r>
      <w:r>
        <w:rPr>
          <w:rFonts w:ascii="Times New Roman" w:hAnsi="Times New Roman"/>
          <w:sz w:val="20"/>
          <w:szCs w:val="20"/>
        </w:rPr>
        <w:t>fficient</w:t>
      </w:r>
      <w:r>
        <w:rPr>
          <w:rFonts w:ascii="Times New Roman" w:hAnsi="Times New Roman" w:hint="eastAsia"/>
          <w:sz w:val="20"/>
          <w:szCs w:val="20"/>
        </w:rPr>
        <w:t xml:space="preserve">ly </w:t>
      </w:r>
      <w:r>
        <w:rPr>
          <w:rFonts w:ascii="Times New Roman" w:hAnsi="Times New Roman"/>
          <w:sz w:val="20"/>
          <w:szCs w:val="20"/>
        </w:rPr>
        <w:t>within a wideband NR carrier</w:t>
      </w:r>
      <w:r>
        <w:rPr>
          <w:rFonts w:ascii="Times New Roman" w:hAnsi="Times New Roman" w:hint="eastAsia"/>
          <w:sz w:val="20"/>
          <w:szCs w:val="20"/>
        </w:rPr>
        <w:t xml:space="preserve">. When dividing </w:t>
      </w:r>
      <w:r w:rsidR="00397E3C">
        <w:rPr>
          <w:rFonts w:ascii="Times New Roman" w:hAnsi="Times New Roman"/>
          <w:sz w:val="20"/>
          <w:szCs w:val="20"/>
        </w:rPr>
        <w:t xml:space="preserve">the </w:t>
      </w:r>
      <w:r>
        <w:rPr>
          <w:rFonts w:ascii="Times New Roman" w:eastAsia="MS Mincho" w:hAnsi="Times New Roman"/>
          <w:sz w:val="20"/>
          <w:szCs w:val="20"/>
          <w:lang w:eastAsia="ja-JP"/>
        </w:rPr>
        <w:t>bandwidth part</w:t>
      </w:r>
      <w:r>
        <w:rPr>
          <w:rFonts w:ascii="Times New Roman" w:hAnsi="Times New Roman" w:hint="eastAsia"/>
          <w:sz w:val="20"/>
          <w:szCs w:val="20"/>
        </w:rPr>
        <w:t xml:space="preserve">, </w:t>
      </w:r>
      <w:r w:rsidR="00397E3C">
        <w:rPr>
          <w:rFonts w:ascii="Times New Roman" w:hAnsi="Times New Roman"/>
          <w:sz w:val="20"/>
          <w:szCs w:val="20"/>
        </w:rPr>
        <w:t xml:space="preserve">the </w:t>
      </w:r>
      <w:r>
        <w:rPr>
          <w:rFonts w:ascii="Times New Roman" w:hAnsi="Times New Roman"/>
          <w:sz w:val="20"/>
          <w:szCs w:val="20"/>
        </w:rPr>
        <w:t>boundary</w:t>
      </w:r>
      <w:r>
        <w:rPr>
          <w:rFonts w:ascii="Times New Roman" w:hAnsi="Times New Roman" w:hint="eastAsia"/>
          <w:sz w:val="20"/>
          <w:szCs w:val="20"/>
        </w:rPr>
        <w:t xml:space="preserve"> of </w:t>
      </w:r>
      <w:r w:rsidR="00397E3C">
        <w:rPr>
          <w:rFonts w:ascii="Times New Roman" w:hAnsi="Times New Roman"/>
          <w:sz w:val="20"/>
          <w:szCs w:val="20"/>
        </w:rPr>
        <w:t xml:space="preserve">the </w:t>
      </w:r>
      <w:r>
        <w:rPr>
          <w:rFonts w:ascii="Times New Roman" w:eastAsia="MS Mincho" w:hAnsi="Times New Roman"/>
          <w:sz w:val="20"/>
          <w:szCs w:val="20"/>
          <w:lang w:eastAsia="ja-JP"/>
        </w:rPr>
        <w:t>bandwidth part</w:t>
      </w:r>
      <w:r>
        <w:rPr>
          <w:rFonts w:ascii="Times New Roman" w:hAnsi="Times New Roman" w:hint="eastAsia"/>
          <w:sz w:val="20"/>
          <w:szCs w:val="20"/>
        </w:rPr>
        <w:t xml:space="preserve"> should be aligned with</w:t>
      </w:r>
      <w:r w:rsidR="00397E3C">
        <w:rPr>
          <w:rFonts w:ascii="Times New Roman" w:hAnsi="Times New Roman"/>
          <w:sz w:val="20"/>
          <w:szCs w:val="20"/>
        </w:rPr>
        <w:t xml:space="preserve"> the</w:t>
      </w:r>
      <w:r>
        <w:rPr>
          <w:rFonts w:ascii="Times New Roman" w:hAnsi="Times New Roman" w:hint="eastAsia"/>
          <w:sz w:val="20"/>
          <w:szCs w:val="20"/>
        </w:rPr>
        <w:t xml:space="preserve"> PRB</w:t>
      </w:r>
      <w:r w:rsidR="00397E3C">
        <w:rPr>
          <w:rFonts w:ascii="Times New Roman" w:hAnsi="Times New Roman"/>
          <w:sz w:val="20"/>
          <w:szCs w:val="20"/>
        </w:rPr>
        <w:t xml:space="preserve"> boundary</w:t>
      </w:r>
      <w:r>
        <w:rPr>
          <w:rFonts w:ascii="Times New Roman" w:hAnsi="Times New Roman" w:hint="eastAsia"/>
          <w:sz w:val="20"/>
          <w:szCs w:val="20"/>
        </w:rPr>
        <w:t xml:space="preserve"> corresponding to </w:t>
      </w:r>
      <w:r w:rsidR="00397E3C">
        <w:rPr>
          <w:rFonts w:ascii="Times New Roman" w:hAnsi="Times New Roman"/>
          <w:sz w:val="20"/>
          <w:szCs w:val="20"/>
        </w:rPr>
        <w:t xml:space="preserve">the </w:t>
      </w:r>
      <w:r>
        <w:rPr>
          <w:rFonts w:ascii="Times New Roman" w:hAnsi="Times New Roman"/>
          <w:sz w:val="20"/>
          <w:szCs w:val="20"/>
        </w:rPr>
        <w:t>maximum</w:t>
      </w:r>
      <w:r>
        <w:rPr>
          <w:rFonts w:ascii="Times New Roman" w:hAnsi="Times New Roman" w:hint="eastAsia"/>
          <w:sz w:val="20"/>
          <w:szCs w:val="20"/>
        </w:rPr>
        <w:t xml:space="preserve"> SCS within a wideband NR carrier</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O</w:t>
      </w:r>
      <w:r>
        <w:rPr>
          <w:rFonts w:ascii="Times New Roman" w:hAnsi="Times New Roman" w:hint="eastAsia"/>
          <w:sz w:val="20"/>
          <w:szCs w:val="20"/>
        </w:rPr>
        <w:t xml:space="preserve">therwise, </w:t>
      </w:r>
      <w:r w:rsidR="00397E3C">
        <w:rPr>
          <w:rFonts w:ascii="Times New Roman" w:hAnsi="Times New Roman"/>
          <w:sz w:val="20"/>
          <w:szCs w:val="20"/>
        </w:rPr>
        <w:t xml:space="preserve">a </w:t>
      </w:r>
      <w:r>
        <w:rPr>
          <w:rFonts w:ascii="Times New Roman" w:hAnsi="Times New Roman" w:hint="eastAsia"/>
          <w:sz w:val="20"/>
          <w:szCs w:val="20"/>
        </w:rPr>
        <w:t xml:space="preserve">PRB corresponding to </w:t>
      </w:r>
      <w:r w:rsidR="00397E3C">
        <w:rPr>
          <w:rFonts w:ascii="Times New Roman" w:hAnsi="Times New Roman"/>
          <w:sz w:val="20"/>
          <w:szCs w:val="20"/>
        </w:rPr>
        <w:t xml:space="preserve">the </w:t>
      </w:r>
      <w:r>
        <w:rPr>
          <w:rFonts w:ascii="Times New Roman" w:hAnsi="Times New Roman"/>
          <w:sz w:val="20"/>
          <w:szCs w:val="20"/>
        </w:rPr>
        <w:t>maximum</w:t>
      </w:r>
      <w:r>
        <w:rPr>
          <w:rFonts w:ascii="Times New Roman" w:hAnsi="Times New Roman" w:hint="eastAsia"/>
          <w:sz w:val="20"/>
          <w:szCs w:val="20"/>
        </w:rPr>
        <w:t xml:space="preserve"> SCS will be partial, which will result in </w:t>
      </w:r>
      <w:r w:rsidR="00397E3C">
        <w:rPr>
          <w:rFonts w:ascii="Times New Roman" w:hAnsi="Times New Roman"/>
          <w:sz w:val="20"/>
          <w:szCs w:val="20"/>
        </w:rPr>
        <w:t xml:space="preserve">that </w:t>
      </w:r>
      <w:r>
        <w:rPr>
          <w:rFonts w:ascii="Times New Roman" w:hAnsi="Times New Roman" w:hint="eastAsia"/>
          <w:sz w:val="20"/>
          <w:szCs w:val="20"/>
        </w:rPr>
        <w:t>this PRB with a</w:t>
      </w:r>
      <w:r>
        <w:rPr>
          <w:rFonts w:ascii="Times New Roman" w:hAnsi="Times New Roman"/>
          <w:sz w:val="20"/>
          <w:szCs w:val="20"/>
        </w:rPr>
        <w:t>ssumed</w:t>
      </w:r>
      <w:r>
        <w:rPr>
          <w:rFonts w:ascii="Times New Roman" w:hAnsi="Times New Roman" w:hint="eastAsia"/>
          <w:sz w:val="20"/>
          <w:szCs w:val="20"/>
        </w:rPr>
        <w:t xml:space="preserve"> b</w:t>
      </w:r>
      <w:r>
        <w:rPr>
          <w:rFonts w:ascii="Times New Roman" w:hAnsi="Times New Roman"/>
          <w:sz w:val="20"/>
          <w:szCs w:val="20"/>
        </w:rPr>
        <w:t>etter channel quality</w:t>
      </w:r>
      <w:r>
        <w:rPr>
          <w:rFonts w:ascii="Times New Roman" w:hAnsi="Times New Roman" w:hint="eastAsia"/>
          <w:sz w:val="20"/>
          <w:szCs w:val="20"/>
        </w:rPr>
        <w:t xml:space="preserve"> can</w:t>
      </w:r>
      <w:r>
        <w:rPr>
          <w:rFonts w:ascii="Times New Roman" w:hAnsi="Times New Roman"/>
          <w:sz w:val="20"/>
          <w:szCs w:val="20"/>
        </w:rPr>
        <w:t>’</w:t>
      </w:r>
      <w:r>
        <w:rPr>
          <w:rFonts w:ascii="Times New Roman" w:hAnsi="Times New Roman" w:hint="eastAsia"/>
          <w:sz w:val="20"/>
          <w:szCs w:val="20"/>
        </w:rPr>
        <w:t xml:space="preserve">t be scheduled as </w:t>
      </w:r>
      <w:r w:rsidR="00397E3C">
        <w:rPr>
          <w:rFonts w:ascii="Times New Roman" w:hAnsi="Times New Roman"/>
          <w:sz w:val="20"/>
          <w:szCs w:val="20"/>
        </w:rPr>
        <w:t xml:space="preserve">a </w:t>
      </w:r>
      <w:r>
        <w:rPr>
          <w:rFonts w:ascii="Times New Roman" w:hAnsi="Times New Roman" w:hint="eastAsia"/>
          <w:sz w:val="20"/>
          <w:szCs w:val="20"/>
        </w:rPr>
        <w:t xml:space="preserve">PRB corresponding to </w:t>
      </w:r>
      <w:r w:rsidR="00397E3C">
        <w:rPr>
          <w:rFonts w:ascii="Times New Roman" w:hAnsi="Times New Roman"/>
          <w:sz w:val="20"/>
          <w:szCs w:val="20"/>
        </w:rPr>
        <w:t xml:space="preserve">the </w:t>
      </w:r>
      <w:r>
        <w:rPr>
          <w:rFonts w:ascii="Times New Roman" w:hAnsi="Times New Roman"/>
          <w:sz w:val="20"/>
          <w:szCs w:val="20"/>
        </w:rPr>
        <w:t>maximum</w:t>
      </w:r>
      <w:r>
        <w:rPr>
          <w:rFonts w:ascii="Times New Roman" w:hAnsi="Times New Roman" w:hint="eastAsia"/>
          <w:sz w:val="20"/>
          <w:szCs w:val="20"/>
        </w:rPr>
        <w:t xml:space="preserve"> SCS as shown in Fig1. In Fig1-a, </w:t>
      </w:r>
      <w:r w:rsidR="00397E3C">
        <w:rPr>
          <w:rFonts w:ascii="Times New Roman" w:hAnsi="Times New Roman"/>
          <w:sz w:val="20"/>
          <w:szCs w:val="20"/>
        </w:rPr>
        <w:t xml:space="preserve">the </w:t>
      </w:r>
      <w:r>
        <w:rPr>
          <w:rFonts w:ascii="Times New Roman" w:hAnsi="Times New Roman" w:hint="eastAsia"/>
          <w:sz w:val="20"/>
          <w:szCs w:val="20"/>
        </w:rPr>
        <w:t xml:space="preserve">red PRB </w:t>
      </w:r>
      <w:r>
        <w:rPr>
          <w:rFonts w:ascii="Times New Roman" w:hAnsi="Times New Roman"/>
          <w:sz w:val="20"/>
          <w:szCs w:val="20"/>
        </w:rPr>
        <w:t>part</w:t>
      </w:r>
      <w:r>
        <w:rPr>
          <w:rFonts w:ascii="Times New Roman" w:hAnsi="Times New Roman" w:hint="eastAsia"/>
          <w:sz w:val="20"/>
          <w:szCs w:val="20"/>
        </w:rPr>
        <w:t xml:space="preserve"> can</w:t>
      </w:r>
      <w:r>
        <w:rPr>
          <w:rFonts w:ascii="Times New Roman" w:hAnsi="Times New Roman"/>
          <w:sz w:val="20"/>
          <w:szCs w:val="20"/>
        </w:rPr>
        <w:t>’</w:t>
      </w:r>
      <w:r>
        <w:rPr>
          <w:rFonts w:ascii="Times New Roman" w:hAnsi="Times New Roman" w:hint="eastAsia"/>
          <w:sz w:val="20"/>
          <w:szCs w:val="20"/>
        </w:rPr>
        <w:t xml:space="preserve">t be scheduled as PRB corresponding to SCS2 and SCS3 due to </w:t>
      </w:r>
      <w:r>
        <w:rPr>
          <w:rFonts w:ascii="Times New Roman" w:hAnsi="Times New Roman"/>
          <w:sz w:val="20"/>
          <w:szCs w:val="20"/>
        </w:rPr>
        <w:t>boundary</w:t>
      </w:r>
      <w:r>
        <w:rPr>
          <w:rFonts w:ascii="Times New Roman" w:hAnsi="Times New Roman" w:hint="eastAsia"/>
          <w:sz w:val="20"/>
          <w:szCs w:val="20"/>
        </w:rPr>
        <w:t xml:space="preserve"> </w:t>
      </w:r>
      <w:r w:rsidR="00397E3C">
        <w:rPr>
          <w:rFonts w:ascii="Times New Roman" w:hAnsi="Times New Roman"/>
          <w:sz w:val="20"/>
          <w:szCs w:val="20"/>
        </w:rPr>
        <w:t xml:space="preserve">misalignment between the </w:t>
      </w:r>
      <w:r>
        <w:rPr>
          <w:rFonts w:ascii="Times New Roman" w:hAnsi="Times New Roman" w:hint="eastAsia"/>
          <w:sz w:val="20"/>
          <w:szCs w:val="20"/>
        </w:rPr>
        <w:t xml:space="preserve"> </w:t>
      </w:r>
      <w:r>
        <w:rPr>
          <w:rFonts w:ascii="Times New Roman" w:eastAsia="MS Mincho" w:hAnsi="Times New Roman"/>
          <w:sz w:val="20"/>
          <w:szCs w:val="20"/>
          <w:lang w:eastAsia="ja-JP"/>
        </w:rPr>
        <w:t>bandwidth part</w:t>
      </w:r>
      <w:r>
        <w:rPr>
          <w:rFonts w:ascii="Times New Roman" w:hAnsi="Times New Roman" w:hint="eastAsia"/>
          <w:sz w:val="20"/>
          <w:szCs w:val="20"/>
        </w:rPr>
        <w:t xml:space="preserve"> </w:t>
      </w:r>
      <w:r w:rsidR="00397E3C">
        <w:rPr>
          <w:rFonts w:ascii="Times New Roman" w:hAnsi="Times New Roman"/>
          <w:sz w:val="20"/>
          <w:szCs w:val="20"/>
        </w:rPr>
        <w:t>and the PRB</w:t>
      </w:r>
      <w:r>
        <w:rPr>
          <w:rFonts w:ascii="Times New Roman" w:hAnsi="Times New Roman" w:hint="eastAsia"/>
          <w:sz w:val="20"/>
          <w:szCs w:val="20"/>
        </w:rPr>
        <w:t xml:space="preserve"> corresponding to</w:t>
      </w:r>
      <w:r w:rsidR="00397E3C">
        <w:rPr>
          <w:rFonts w:ascii="Times New Roman" w:hAnsi="Times New Roman"/>
          <w:sz w:val="20"/>
          <w:szCs w:val="20"/>
        </w:rPr>
        <w:t xml:space="preserve"> the</w:t>
      </w:r>
      <w:r>
        <w:rPr>
          <w:rFonts w:ascii="Times New Roman" w:hAnsi="Times New Roman" w:hint="eastAsia"/>
          <w:sz w:val="20"/>
          <w:szCs w:val="20"/>
        </w:rPr>
        <w:t xml:space="preserve"> </w:t>
      </w:r>
      <w:r>
        <w:rPr>
          <w:rFonts w:ascii="Times New Roman" w:hAnsi="Times New Roman"/>
          <w:sz w:val="20"/>
          <w:szCs w:val="20"/>
        </w:rPr>
        <w:t>maximum</w:t>
      </w:r>
      <w:r>
        <w:rPr>
          <w:rFonts w:ascii="Times New Roman" w:hAnsi="Times New Roman" w:hint="eastAsia"/>
          <w:sz w:val="20"/>
          <w:szCs w:val="20"/>
        </w:rPr>
        <w:t xml:space="preserve"> SCS</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I</w:t>
      </w:r>
      <w:r>
        <w:rPr>
          <w:rFonts w:ascii="Times New Roman" w:hAnsi="Times New Roman" w:hint="eastAsia"/>
          <w:sz w:val="20"/>
          <w:szCs w:val="20"/>
        </w:rPr>
        <w:t xml:space="preserve">n Fig1-b, </w:t>
      </w:r>
      <w:r w:rsidR="00397E3C">
        <w:rPr>
          <w:rFonts w:ascii="Times New Roman" w:hAnsi="Times New Roman"/>
          <w:sz w:val="20"/>
          <w:szCs w:val="20"/>
        </w:rPr>
        <w:t xml:space="preserve">the </w:t>
      </w:r>
      <w:r>
        <w:rPr>
          <w:rFonts w:ascii="Times New Roman" w:hAnsi="Times New Roman" w:hint="eastAsia"/>
          <w:sz w:val="20"/>
          <w:szCs w:val="20"/>
        </w:rPr>
        <w:t xml:space="preserve">green PRB position can be scheduled as PRB corresponding to SCS2 and SCS3 when </w:t>
      </w:r>
      <w:r w:rsidR="00397E3C">
        <w:rPr>
          <w:rFonts w:ascii="Times New Roman" w:hAnsi="Times New Roman"/>
          <w:sz w:val="20"/>
          <w:szCs w:val="20"/>
        </w:rPr>
        <w:t xml:space="preserve">the </w:t>
      </w:r>
      <w:r>
        <w:rPr>
          <w:rFonts w:ascii="Times New Roman" w:hAnsi="Times New Roman"/>
          <w:sz w:val="20"/>
          <w:szCs w:val="20"/>
        </w:rPr>
        <w:t>boundary</w:t>
      </w:r>
      <w:r>
        <w:rPr>
          <w:rFonts w:ascii="Times New Roman" w:hAnsi="Times New Roman" w:hint="eastAsia"/>
          <w:sz w:val="20"/>
          <w:szCs w:val="20"/>
        </w:rPr>
        <w:t xml:space="preserve"> of </w:t>
      </w:r>
      <w:r w:rsidR="00397E3C">
        <w:rPr>
          <w:rFonts w:ascii="Times New Roman" w:hAnsi="Times New Roman"/>
          <w:sz w:val="20"/>
          <w:szCs w:val="20"/>
        </w:rPr>
        <w:t xml:space="preserve">the </w:t>
      </w:r>
      <w:r>
        <w:rPr>
          <w:rFonts w:ascii="Times New Roman" w:eastAsia="MS Mincho" w:hAnsi="Times New Roman"/>
          <w:sz w:val="20"/>
          <w:szCs w:val="20"/>
          <w:lang w:eastAsia="ja-JP"/>
        </w:rPr>
        <w:t>bandwidth part</w:t>
      </w:r>
      <w:r>
        <w:rPr>
          <w:rFonts w:ascii="Times New Roman" w:hAnsi="Times New Roman" w:hint="eastAsia"/>
          <w:sz w:val="20"/>
          <w:szCs w:val="20"/>
        </w:rPr>
        <w:t xml:space="preserve"> is </w:t>
      </w:r>
      <w:r>
        <w:rPr>
          <w:rFonts w:ascii="Times New Roman" w:hAnsi="Times New Roman"/>
          <w:sz w:val="20"/>
          <w:szCs w:val="20"/>
        </w:rPr>
        <w:t>aligned</w:t>
      </w:r>
      <w:r>
        <w:rPr>
          <w:rFonts w:ascii="Times New Roman" w:hAnsi="Times New Roman" w:hint="eastAsia"/>
          <w:sz w:val="20"/>
          <w:szCs w:val="20"/>
        </w:rPr>
        <w:t xml:space="preserve"> with </w:t>
      </w:r>
      <w:r w:rsidR="00397E3C">
        <w:rPr>
          <w:rFonts w:ascii="Times New Roman" w:hAnsi="Times New Roman"/>
          <w:sz w:val="20"/>
          <w:szCs w:val="20"/>
        </w:rPr>
        <w:t xml:space="preserve">the </w:t>
      </w:r>
      <w:r>
        <w:rPr>
          <w:rFonts w:ascii="Times New Roman" w:hAnsi="Times New Roman" w:hint="eastAsia"/>
          <w:sz w:val="20"/>
          <w:szCs w:val="20"/>
        </w:rPr>
        <w:t>PRB</w:t>
      </w:r>
      <w:r w:rsidR="00397E3C">
        <w:rPr>
          <w:rFonts w:ascii="Times New Roman" w:hAnsi="Times New Roman"/>
          <w:sz w:val="20"/>
          <w:szCs w:val="20"/>
        </w:rPr>
        <w:t xml:space="preserve"> boundary</w:t>
      </w:r>
      <w:r>
        <w:rPr>
          <w:rFonts w:ascii="Times New Roman" w:hAnsi="Times New Roman" w:hint="eastAsia"/>
          <w:sz w:val="20"/>
          <w:szCs w:val="20"/>
        </w:rPr>
        <w:t xml:space="preserve"> corresponding to </w:t>
      </w:r>
      <w:r w:rsidR="00397E3C">
        <w:rPr>
          <w:rFonts w:ascii="Times New Roman" w:hAnsi="Times New Roman"/>
          <w:sz w:val="20"/>
          <w:szCs w:val="20"/>
        </w:rPr>
        <w:t xml:space="preserve">the </w:t>
      </w:r>
      <w:r>
        <w:rPr>
          <w:rFonts w:ascii="Times New Roman" w:hAnsi="Times New Roman"/>
          <w:sz w:val="20"/>
          <w:szCs w:val="20"/>
        </w:rPr>
        <w:t>maximum</w:t>
      </w:r>
      <w:r>
        <w:rPr>
          <w:rFonts w:ascii="Times New Roman" w:hAnsi="Times New Roman" w:hint="eastAsia"/>
          <w:sz w:val="20"/>
          <w:szCs w:val="20"/>
        </w:rPr>
        <w:t xml:space="preserve"> SCS.</w:t>
      </w:r>
    </w:p>
    <w:p w:rsidR="00020E47"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hint="eastAsia"/>
          <w:b/>
          <w:i/>
          <w:sz w:val="20"/>
          <w:szCs w:val="20"/>
        </w:rPr>
        <w:t>: B</w:t>
      </w:r>
      <w:r>
        <w:rPr>
          <w:rFonts w:ascii="Times New Roman" w:hAnsi="Times New Roman"/>
          <w:b/>
          <w:i/>
          <w:sz w:val="20"/>
          <w:szCs w:val="20"/>
        </w:rPr>
        <w:t>oundary</w:t>
      </w:r>
      <w:r>
        <w:rPr>
          <w:rFonts w:ascii="Times New Roman" w:hAnsi="Times New Roman" w:hint="eastAsia"/>
          <w:b/>
          <w:i/>
          <w:sz w:val="20"/>
          <w:szCs w:val="20"/>
        </w:rPr>
        <w:t xml:space="preserve"> of</w:t>
      </w:r>
      <w:r>
        <w:rPr>
          <w:rFonts w:ascii="Times New Roman" w:hAnsi="Times New Roman"/>
          <w:b/>
          <w:i/>
          <w:sz w:val="20"/>
          <w:szCs w:val="20"/>
        </w:rPr>
        <w:t xml:space="preserve"> any</w:t>
      </w:r>
      <w:r>
        <w:rPr>
          <w:rFonts w:ascii="Times New Roman" w:hAnsi="Times New Roman" w:hint="eastAsia"/>
          <w:b/>
          <w:i/>
          <w:sz w:val="20"/>
          <w:szCs w:val="20"/>
        </w:rPr>
        <w:t xml:space="preserve"> </w:t>
      </w:r>
      <w:r>
        <w:rPr>
          <w:rFonts w:ascii="Times New Roman" w:eastAsia="MS Mincho" w:hAnsi="Times New Roman"/>
          <w:b/>
          <w:i/>
          <w:sz w:val="20"/>
          <w:szCs w:val="20"/>
          <w:lang w:eastAsia="ja-JP"/>
        </w:rPr>
        <w:t>bandwidth part</w:t>
      </w:r>
      <w:r>
        <w:rPr>
          <w:rFonts w:ascii="Times New Roman" w:hAnsi="Times New Roman" w:hint="eastAsia"/>
          <w:b/>
          <w:i/>
          <w:sz w:val="20"/>
          <w:szCs w:val="20"/>
        </w:rPr>
        <w:t xml:space="preserve"> should be aligned with </w:t>
      </w:r>
      <w:r>
        <w:rPr>
          <w:rFonts w:ascii="Times New Roman" w:hAnsi="Times New Roman"/>
          <w:b/>
          <w:i/>
          <w:sz w:val="20"/>
          <w:szCs w:val="20"/>
        </w:rPr>
        <w:t>boundary</w:t>
      </w:r>
      <w:r>
        <w:rPr>
          <w:rFonts w:ascii="Times New Roman" w:hAnsi="Times New Roman" w:hint="eastAsia"/>
          <w:b/>
          <w:i/>
          <w:sz w:val="20"/>
          <w:szCs w:val="20"/>
        </w:rPr>
        <w:t xml:space="preserve"> of PRB corresponding to </w:t>
      </w:r>
      <w:r>
        <w:rPr>
          <w:rFonts w:ascii="Times New Roman" w:hAnsi="Times New Roman"/>
          <w:b/>
          <w:i/>
          <w:sz w:val="20"/>
          <w:szCs w:val="20"/>
        </w:rPr>
        <w:t>maximum</w:t>
      </w:r>
      <w:r>
        <w:rPr>
          <w:rFonts w:ascii="Times New Roman" w:hAnsi="Times New Roman" w:hint="eastAsia"/>
          <w:b/>
          <w:i/>
          <w:sz w:val="20"/>
          <w:szCs w:val="20"/>
        </w:rPr>
        <w:t xml:space="preserve"> SCS within a wideband NR carrier</w:t>
      </w:r>
      <w:r>
        <w:rPr>
          <w:rFonts w:ascii="Times New Roman" w:hAnsi="Times New Roman"/>
          <w:b/>
          <w:i/>
          <w:sz w:val="20"/>
          <w:szCs w:val="20"/>
        </w:rPr>
        <w:t>.</w:t>
      </w:r>
    </w:p>
    <w:p w:rsidR="00815DCE" w:rsidRDefault="00DA2A06">
      <w:pPr>
        <w:spacing w:line="360" w:lineRule="auto"/>
      </w:pPr>
      <w:r>
        <w:rPr>
          <w:rFonts w:ascii="Times New Roman" w:hAnsi="Times New Roman" w:hint="eastAsia"/>
          <w:sz w:val="20"/>
          <w:szCs w:val="20"/>
        </w:rPr>
        <w:t>Another related issue is what a</w:t>
      </w:r>
      <w:r>
        <w:rPr>
          <w:rFonts w:ascii="Times New Roman" w:hAnsi="Times New Roman"/>
          <w:sz w:val="20"/>
          <w:szCs w:val="20"/>
        </w:rPr>
        <w:t>ppropriate</w:t>
      </w:r>
      <w:r>
        <w:rPr>
          <w:rFonts w:ascii="Times New Roman" w:hAnsi="Times New Roman" w:hint="eastAsia"/>
          <w:sz w:val="20"/>
          <w:szCs w:val="20"/>
        </w:rPr>
        <w:t xml:space="preserve"> reference can be used to configure the bandwidth of a </w:t>
      </w:r>
      <w:r>
        <w:rPr>
          <w:rFonts w:ascii="Times New Roman" w:eastAsia="MS Mincho" w:hAnsi="Times New Roman"/>
          <w:sz w:val="20"/>
          <w:szCs w:val="20"/>
          <w:lang w:eastAsia="ja-JP"/>
        </w:rPr>
        <w:t>bandwidth part</w:t>
      </w:r>
      <w:r>
        <w:rPr>
          <w:rFonts w:ascii="Times New Roman" w:hAnsi="Times New Roman" w:hint="eastAsia"/>
          <w:sz w:val="20"/>
          <w:szCs w:val="20"/>
        </w:rPr>
        <w:t xml:space="preserve">. </w:t>
      </w:r>
      <w:r>
        <w:rPr>
          <w:rFonts w:ascii="Times New Roman" w:hAnsi="Times New Roman"/>
          <w:sz w:val="20"/>
          <w:szCs w:val="20"/>
        </w:rPr>
        <w:t>One can consider that the timing reference is used,</w:t>
      </w:r>
      <w:r>
        <w:rPr>
          <w:rFonts w:ascii="Times New Roman" w:hAnsi="Times New Roman" w:hint="eastAsia"/>
          <w:sz w:val="20"/>
          <w:szCs w:val="20"/>
        </w:rPr>
        <w:t xml:space="preserve"> e.g., PRB index corresponding to 15 kHz as a reference to configure the bandwidth of a </w:t>
      </w:r>
      <w:r>
        <w:rPr>
          <w:rFonts w:ascii="Times New Roman" w:eastAsia="MS Mincho" w:hAnsi="Times New Roman"/>
          <w:sz w:val="20"/>
          <w:szCs w:val="20"/>
          <w:lang w:eastAsia="ja-JP"/>
        </w:rPr>
        <w:t>bandwidth part</w:t>
      </w:r>
      <w:r>
        <w:rPr>
          <w:rFonts w:ascii="Times New Roman" w:hAnsi="Times New Roman"/>
          <w:sz w:val="20"/>
          <w:szCs w:val="20"/>
        </w:rPr>
        <w:t>.</w:t>
      </w:r>
      <w:r>
        <w:rPr>
          <w:rFonts w:ascii="Times New Roman" w:hAnsi="Times New Roman" w:hint="eastAsia"/>
          <w:sz w:val="20"/>
          <w:szCs w:val="20"/>
        </w:rPr>
        <w:t xml:space="preserve"> </w:t>
      </w:r>
      <w:r w:rsidR="00397E3C">
        <w:rPr>
          <w:rFonts w:ascii="Times New Roman" w:hAnsi="Times New Roman"/>
          <w:sz w:val="20"/>
          <w:szCs w:val="20"/>
        </w:rPr>
        <w:t>However, t</w:t>
      </w:r>
      <w:r>
        <w:rPr>
          <w:rFonts w:ascii="Times New Roman" w:hAnsi="Times New Roman" w:hint="eastAsia"/>
          <w:sz w:val="20"/>
          <w:szCs w:val="20"/>
        </w:rPr>
        <w:t xml:space="preserve">his will </w:t>
      </w:r>
      <w:r w:rsidR="00397E3C">
        <w:rPr>
          <w:rFonts w:ascii="Times New Roman" w:hAnsi="Times New Roman"/>
          <w:sz w:val="20"/>
          <w:szCs w:val="20"/>
        </w:rPr>
        <w:t>lead to a</w:t>
      </w:r>
      <w:r>
        <w:rPr>
          <w:rFonts w:ascii="Times New Roman" w:hAnsi="Times New Roman" w:hint="eastAsia"/>
          <w:sz w:val="20"/>
          <w:szCs w:val="20"/>
        </w:rPr>
        <w:t xml:space="preserve"> larger </w:t>
      </w:r>
      <w:r>
        <w:rPr>
          <w:rFonts w:ascii="Times New Roman" w:hAnsi="Times New Roman"/>
          <w:sz w:val="20"/>
          <w:szCs w:val="20"/>
        </w:rPr>
        <w:t>signaling</w:t>
      </w:r>
      <w:r>
        <w:rPr>
          <w:rFonts w:ascii="Times New Roman" w:hAnsi="Times New Roman" w:hint="eastAsia"/>
          <w:sz w:val="20"/>
          <w:szCs w:val="20"/>
        </w:rPr>
        <w:t xml:space="preserve"> overhead. To reduce</w:t>
      </w:r>
      <w:r w:rsidR="00397E3C">
        <w:rPr>
          <w:rFonts w:ascii="Times New Roman" w:hAnsi="Times New Roman"/>
          <w:sz w:val="20"/>
          <w:szCs w:val="20"/>
        </w:rPr>
        <w:t xml:space="preserve"> this</w:t>
      </w:r>
      <w:r>
        <w:rPr>
          <w:rFonts w:ascii="Times New Roman" w:hAnsi="Times New Roman" w:hint="eastAsia"/>
          <w:sz w:val="20"/>
          <w:szCs w:val="20"/>
        </w:rPr>
        <w:t xml:space="preserve"> overhead, we prefer </w:t>
      </w:r>
      <w:r>
        <w:rPr>
          <w:rFonts w:ascii="Times New Roman" w:hAnsi="Times New Roman"/>
          <w:sz w:val="20"/>
          <w:szCs w:val="20"/>
        </w:rPr>
        <w:t>to use</w:t>
      </w:r>
      <w:r>
        <w:rPr>
          <w:rFonts w:ascii="Times New Roman" w:hAnsi="Times New Roman" w:hint="eastAsia"/>
          <w:sz w:val="20"/>
          <w:szCs w:val="20"/>
        </w:rPr>
        <w:t xml:space="preserve"> </w:t>
      </w:r>
      <w:r w:rsidR="00397E3C">
        <w:rPr>
          <w:rFonts w:ascii="Times New Roman" w:hAnsi="Times New Roman"/>
          <w:sz w:val="20"/>
          <w:szCs w:val="20"/>
        </w:rPr>
        <w:t xml:space="preserve">a </w:t>
      </w:r>
      <w:r>
        <w:rPr>
          <w:rFonts w:ascii="Times New Roman" w:hAnsi="Times New Roman" w:hint="eastAsia"/>
          <w:sz w:val="20"/>
          <w:szCs w:val="20"/>
        </w:rPr>
        <w:t xml:space="preserve">PRB index corresponding to </w:t>
      </w:r>
      <w:r w:rsidR="00397E3C">
        <w:rPr>
          <w:rFonts w:ascii="Times New Roman" w:hAnsi="Times New Roman"/>
          <w:sz w:val="20"/>
          <w:szCs w:val="20"/>
        </w:rPr>
        <w:t xml:space="preserve">the </w:t>
      </w:r>
      <w:r>
        <w:rPr>
          <w:rFonts w:ascii="Times New Roman" w:hAnsi="Times New Roman"/>
          <w:sz w:val="20"/>
          <w:szCs w:val="20"/>
        </w:rPr>
        <w:t>maximum</w:t>
      </w:r>
      <w:r>
        <w:rPr>
          <w:rFonts w:ascii="Times New Roman" w:hAnsi="Times New Roman" w:hint="eastAsia"/>
          <w:sz w:val="20"/>
          <w:szCs w:val="20"/>
        </w:rPr>
        <w:t xml:space="preserve"> SCS in gNB side </w:t>
      </w:r>
      <w:r>
        <w:rPr>
          <w:rFonts w:ascii="Times New Roman" w:hAnsi="Times New Roman"/>
          <w:sz w:val="20"/>
          <w:szCs w:val="20"/>
        </w:rPr>
        <w:t>for</w:t>
      </w:r>
      <w:r>
        <w:rPr>
          <w:rFonts w:ascii="Times New Roman" w:hAnsi="Times New Roman" w:hint="eastAsia"/>
          <w:sz w:val="20"/>
          <w:szCs w:val="20"/>
        </w:rPr>
        <w:t xml:space="preserve"> configur</w:t>
      </w:r>
      <w:r>
        <w:rPr>
          <w:rFonts w:ascii="Times New Roman" w:hAnsi="Times New Roman"/>
          <w:sz w:val="20"/>
          <w:szCs w:val="20"/>
        </w:rPr>
        <w:t>ing</w:t>
      </w:r>
      <w:r>
        <w:rPr>
          <w:rFonts w:ascii="Times New Roman" w:hAnsi="Times New Roman" w:hint="eastAsia"/>
          <w:sz w:val="20"/>
          <w:szCs w:val="20"/>
        </w:rPr>
        <w:t xml:space="preserve"> the bandwidth of </w:t>
      </w:r>
      <w:r>
        <w:rPr>
          <w:rFonts w:ascii="Times New Roman" w:hAnsi="Times New Roman"/>
          <w:sz w:val="20"/>
          <w:szCs w:val="20"/>
        </w:rPr>
        <w:t>each</w:t>
      </w:r>
      <w:r>
        <w:rPr>
          <w:rFonts w:ascii="Times New Roman" w:hAnsi="Times New Roman" w:hint="eastAsia"/>
          <w:sz w:val="20"/>
          <w:szCs w:val="20"/>
        </w:rPr>
        <w:t xml:space="preserve"> </w:t>
      </w:r>
      <w:r>
        <w:rPr>
          <w:rFonts w:ascii="Times New Roman" w:eastAsia="MS Mincho" w:hAnsi="Times New Roman"/>
          <w:sz w:val="20"/>
          <w:szCs w:val="20"/>
          <w:lang w:eastAsia="ja-JP"/>
        </w:rPr>
        <w:t>bandwidth part</w:t>
      </w:r>
      <w:r>
        <w:rPr>
          <w:rFonts w:ascii="Times New Roman" w:hAnsi="Times New Roman" w:hint="eastAsia"/>
          <w:sz w:val="20"/>
          <w:szCs w:val="20"/>
        </w:rPr>
        <w:t xml:space="preserve">. </w:t>
      </w:r>
    </w:p>
    <w:p w:rsidR="00815DCE" w:rsidRPr="004C45B7" w:rsidRDefault="00DA2A06" w:rsidP="004C45B7">
      <w:pPr>
        <w:spacing w:line="360" w:lineRule="auto"/>
        <w:rPr>
          <w:rFonts w:ascii="Times New Roman" w:hAnsi="Times New Roman"/>
          <w:sz w:val="20"/>
          <w:szCs w:val="20"/>
        </w:rPr>
      </w:pPr>
      <w:r>
        <w:rPr>
          <w:rFonts w:ascii="Times New Roman" w:hAnsi="Times New Roman" w:hint="eastAsia"/>
          <w:sz w:val="20"/>
          <w:szCs w:val="20"/>
        </w:rPr>
        <w:t xml:space="preserve">Based on agreement-3, currently, only </w:t>
      </w:r>
      <w:r>
        <w:rPr>
          <w:rFonts w:ascii="Times New Roman" w:hAnsi="Times New Roman"/>
          <w:sz w:val="20"/>
          <w:szCs w:val="20"/>
        </w:rPr>
        <w:t>the single active bandwidth part case</w:t>
      </w:r>
      <w:r>
        <w:rPr>
          <w:rFonts w:ascii="Times New Roman" w:hAnsi="Times New Roman" w:hint="eastAsia"/>
          <w:sz w:val="20"/>
          <w:szCs w:val="20"/>
        </w:rPr>
        <w:t xml:space="preserve"> for UE side</w:t>
      </w:r>
      <w:r w:rsidR="00FF3EB4">
        <w:rPr>
          <w:rFonts w:ascii="Times New Roman" w:hAnsi="Times New Roman"/>
          <w:sz w:val="20"/>
          <w:szCs w:val="20"/>
        </w:rPr>
        <w:t xml:space="preserve"> is defined.</w:t>
      </w:r>
      <w:r>
        <w:rPr>
          <w:rFonts w:ascii="Times New Roman" w:hAnsi="Times New Roman" w:hint="eastAsia"/>
          <w:sz w:val="20"/>
          <w:szCs w:val="20"/>
        </w:rPr>
        <w:t xml:space="preserve"> </w:t>
      </w:r>
      <w:r w:rsidR="00FF3EB4">
        <w:rPr>
          <w:rFonts w:ascii="Times New Roman" w:hAnsi="Times New Roman"/>
          <w:sz w:val="20"/>
          <w:szCs w:val="20"/>
        </w:rPr>
        <w:t xml:space="preserve"> This </w:t>
      </w:r>
      <w:r>
        <w:rPr>
          <w:rFonts w:ascii="Times New Roman" w:hAnsi="Times New Roman" w:hint="eastAsia"/>
          <w:sz w:val="20"/>
          <w:szCs w:val="20"/>
        </w:rPr>
        <w:t>means</w:t>
      </w:r>
      <w:r w:rsidR="00FF3EB4">
        <w:rPr>
          <w:rFonts w:ascii="Times New Roman" w:hAnsi="Times New Roman"/>
          <w:sz w:val="20"/>
          <w:szCs w:val="20"/>
        </w:rPr>
        <w:t xml:space="preserve"> that the</w:t>
      </w:r>
      <w:r>
        <w:rPr>
          <w:rFonts w:ascii="Times New Roman" w:hAnsi="Times New Roman" w:hint="eastAsia"/>
          <w:sz w:val="20"/>
          <w:szCs w:val="20"/>
        </w:rPr>
        <w:t xml:space="preserve"> </w:t>
      </w:r>
      <w:r>
        <w:rPr>
          <w:rFonts w:ascii="Times New Roman" w:hAnsi="Times New Roman"/>
          <w:sz w:val="20"/>
          <w:szCs w:val="20"/>
        </w:rPr>
        <w:t>influence</w:t>
      </w:r>
      <w:r>
        <w:rPr>
          <w:rFonts w:ascii="Times New Roman" w:hAnsi="Times New Roman" w:hint="eastAsia"/>
          <w:sz w:val="20"/>
          <w:szCs w:val="20"/>
        </w:rPr>
        <w:t xml:space="preserve"> of scheduling for this UE may be smaller </w:t>
      </w:r>
      <w:r w:rsidR="00FF3EB4">
        <w:rPr>
          <w:rFonts w:ascii="Times New Roman" w:hAnsi="Times New Roman"/>
          <w:sz w:val="20"/>
          <w:szCs w:val="20"/>
        </w:rPr>
        <w:t>when the</w:t>
      </w:r>
      <w:r>
        <w:rPr>
          <w:rFonts w:ascii="Times New Roman" w:hAnsi="Times New Roman" w:hint="eastAsia"/>
          <w:sz w:val="20"/>
          <w:szCs w:val="20"/>
        </w:rPr>
        <w:t xml:space="preserve"> </w:t>
      </w:r>
      <w:r>
        <w:rPr>
          <w:rFonts w:ascii="Times New Roman" w:hAnsi="Times New Roman"/>
          <w:sz w:val="20"/>
          <w:szCs w:val="20"/>
        </w:rPr>
        <w:t>maximum</w:t>
      </w:r>
      <w:r>
        <w:rPr>
          <w:rFonts w:ascii="Times New Roman" w:hAnsi="Times New Roman" w:hint="eastAsia"/>
          <w:sz w:val="20"/>
          <w:szCs w:val="20"/>
        </w:rPr>
        <w:t xml:space="preserve"> SCS within a wideband NR carrier is not used as a reference. However, this still has multiple bandwidth parts for gNB side, which means</w:t>
      </w:r>
      <w:r w:rsidR="00FF3EB4">
        <w:rPr>
          <w:rFonts w:ascii="Times New Roman" w:hAnsi="Times New Roman"/>
          <w:sz w:val="20"/>
          <w:szCs w:val="20"/>
        </w:rPr>
        <w:t xml:space="preserve"> that the</w:t>
      </w:r>
      <w:r>
        <w:rPr>
          <w:rFonts w:ascii="Times New Roman" w:hAnsi="Times New Roman" w:hint="eastAsia"/>
          <w:sz w:val="20"/>
          <w:szCs w:val="20"/>
        </w:rPr>
        <w:t xml:space="preserve"> </w:t>
      </w:r>
      <w:r>
        <w:rPr>
          <w:rFonts w:ascii="Times New Roman" w:hAnsi="Times New Roman"/>
          <w:sz w:val="20"/>
          <w:szCs w:val="20"/>
        </w:rPr>
        <w:t>influence</w:t>
      </w:r>
      <w:r>
        <w:rPr>
          <w:rFonts w:ascii="Times New Roman" w:hAnsi="Times New Roman" w:hint="eastAsia"/>
          <w:sz w:val="20"/>
          <w:szCs w:val="20"/>
        </w:rPr>
        <w:t xml:space="preserve"> of scheduling for </w:t>
      </w:r>
      <w:r w:rsidR="00FF3EB4">
        <w:rPr>
          <w:rFonts w:ascii="Times New Roman" w:hAnsi="Times New Roman"/>
          <w:sz w:val="20"/>
          <w:szCs w:val="20"/>
        </w:rPr>
        <w:t xml:space="preserve">the </w:t>
      </w:r>
      <w:r>
        <w:rPr>
          <w:rFonts w:ascii="Times New Roman" w:hAnsi="Times New Roman" w:hint="eastAsia"/>
          <w:sz w:val="20"/>
          <w:szCs w:val="20"/>
        </w:rPr>
        <w:t xml:space="preserve">whole network </w:t>
      </w:r>
      <w:r w:rsidR="00FF3EB4">
        <w:rPr>
          <w:rFonts w:ascii="Times New Roman" w:hAnsi="Times New Roman"/>
          <w:sz w:val="20"/>
          <w:szCs w:val="20"/>
        </w:rPr>
        <w:t xml:space="preserve">still </w:t>
      </w:r>
      <w:r>
        <w:rPr>
          <w:rFonts w:ascii="Times New Roman" w:hAnsi="Times New Roman" w:hint="eastAsia"/>
          <w:sz w:val="20"/>
          <w:szCs w:val="20"/>
        </w:rPr>
        <w:t xml:space="preserve">is bigger if </w:t>
      </w:r>
      <w:r w:rsidR="00FF3EB4">
        <w:rPr>
          <w:rFonts w:ascii="Times New Roman" w:hAnsi="Times New Roman"/>
          <w:sz w:val="20"/>
          <w:szCs w:val="20"/>
        </w:rPr>
        <w:t xml:space="preserve">the </w:t>
      </w:r>
      <w:r>
        <w:rPr>
          <w:rFonts w:ascii="Times New Roman" w:hAnsi="Times New Roman"/>
          <w:sz w:val="20"/>
          <w:szCs w:val="20"/>
        </w:rPr>
        <w:t>maximum</w:t>
      </w:r>
      <w:r>
        <w:rPr>
          <w:rFonts w:ascii="Times New Roman" w:hAnsi="Times New Roman" w:hint="eastAsia"/>
          <w:sz w:val="20"/>
          <w:szCs w:val="20"/>
        </w:rPr>
        <w:t xml:space="preserve"> SCS within a wideband NR carrier is not used as a reference. On the other hand, f</w:t>
      </w:r>
      <w:r>
        <w:rPr>
          <w:rFonts w:ascii="Times New Roman" w:hAnsi="Times New Roman"/>
          <w:sz w:val="20"/>
          <w:szCs w:val="20"/>
        </w:rPr>
        <w:t>or a single carrier WB UE,</w:t>
      </w:r>
      <w:r>
        <w:rPr>
          <w:rFonts w:ascii="Times New Roman" w:hAnsi="Times New Roman" w:hint="eastAsia"/>
          <w:sz w:val="20"/>
          <w:szCs w:val="20"/>
        </w:rPr>
        <w:t xml:space="preserve"> it is natural to have </w:t>
      </w:r>
      <w:r>
        <w:rPr>
          <w:rFonts w:ascii="Times New Roman" w:hAnsi="Times New Roman"/>
          <w:sz w:val="20"/>
          <w:szCs w:val="20"/>
        </w:rPr>
        <w:t xml:space="preserve">multiple active bandwidth parts with different numerologies </w:t>
      </w:r>
      <w:r>
        <w:rPr>
          <w:rFonts w:ascii="Times New Roman" w:hAnsi="Times New Roman" w:hint="eastAsia"/>
          <w:sz w:val="20"/>
          <w:szCs w:val="20"/>
        </w:rPr>
        <w:t>configured</w:t>
      </w:r>
      <w:r>
        <w:rPr>
          <w:rFonts w:ascii="Times New Roman" w:hAnsi="Times New Roman"/>
          <w:sz w:val="20"/>
          <w:szCs w:val="20"/>
        </w:rPr>
        <w:t xml:space="preserve"> for a UE simultaneously</w:t>
      </w:r>
      <w:r>
        <w:rPr>
          <w:rFonts w:ascii="Times New Roman" w:hAnsi="Times New Roman" w:hint="eastAsia"/>
          <w:sz w:val="20"/>
          <w:szCs w:val="20"/>
        </w:rPr>
        <w:t xml:space="preserve">, and it is also possible to </w:t>
      </w:r>
      <w:r>
        <w:rPr>
          <w:rFonts w:ascii="Times New Roman" w:hAnsi="Times New Roman"/>
          <w:sz w:val="20"/>
          <w:szCs w:val="20"/>
        </w:rPr>
        <w:t xml:space="preserve">overlap </w:t>
      </w:r>
      <w:r>
        <w:rPr>
          <w:rFonts w:ascii="Times New Roman" w:hAnsi="Times New Roman" w:hint="eastAsia"/>
          <w:sz w:val="20"/>
          <w:szCs w:val="20"/>
        </w:rPr>
        <w:t>between</w:t>
      </w:r>
      <w:r>
        <w:rPr>
          <w:rFonts w:ascii="Times New Roman" w:hAnsi="Times New Roman"/>
          <w:sz w:val="20"/>
          <w:szCs w:val="20"/>
        </w:rPr>
        <w:t xml:space="preserve"> multiple active BWPs </w:t>
      </w:r>
      <w:r>
        <w:rPr>
          <w:rFonts w:ascii="Times New Roman" w:hAnsi="Times New Roman" w:hint="eastAsia"/>
          <w:sz w:val="20"/>
          <w:szCs w:val="20"/>
        </w:rPr>
        <w:t>i</w:t>
      </w:r>
      <w:r>
        <w:rPr>
          <w:rFonts w:ascii="Times New Roman" w:hAnsi="Times New Roman"/>
          <w:sz w:val="20"/>
          <w:szCs w:val="20"/>
        </w:rPr>
        <w:t>n frequency domain.</w:t>
      </w:r>
      <w:r>
        <w:rPr>
          <w:rFonts w:ascii="Times New Roman" w:hAnsi="Times New Roman" w:hint="eastAsia"/>
          <w:sz w:val="20"/>
          <w:szCs w:val="20"/>
        </w:rPr>
        <w:t xml:space="preserve"> A typical overlap scenario is </w:t>
      </w:r>
      <w:r w:rsidR="00FF3EB4">
        <w:rPr>
          <w:rFonts w:ascii="Times New Roman" w:hAnsi="Times New Roman"/>
          <w:sz w:val="20"/>
          <w:szCs w:val="20"/>
        </w:rPr>
        <w:t xml:space="preserve">the </w:t>
      </w:r>
      <w:r>
        <w:rPr>
          <w:rFonts w:ascii="Times New Roman" w:hAnsi="Times New Roman" w:hint="eastAsia"/>
          <w:sz w:val="20"/>
          <w:szCs w:val="20"/>
        </w:rPr>
        <w:t xml:space="preserve">BWP adaptation case. The </w:t>
      </w:r>
      <w:r>
        <w:rPr>
          <w:rFonts w:ascii="Times New Roman" w:hAnsi="Times New Roman"/>
          <w:sz w:val="20"/>
          <w:szCs w:val="20"/>
        </w:rPr>
        <w:t>influence</w:t>
      </w:r>
      <w:r>
        <w:rPr>
          <w:rFonts w:ascii="Times New Roman" w:hAnsi="Times New Roman" w:hint="eastAsia"/>
          <w:sz w:val="20"/>
          <w:szCs w:val="20"/>
        </w:rPr>
        <w:t xml:space="preserve"> of scheduling may be relieved because a flexible scheduling with appropriate SCS for overlap domain. However, for </w:t>
      </w:r>
      <w:r>
        <w:rPr>
          <w:rFonts w:ascii="Times New Roman" w:hAnsi="Times New Roman"/>
          <w:sz w:val="20"/>
          <w:szCs w:val="20"/>
        </w:rPr>
        <w:t xml:space="preserve">multiple active bandwidth parts with different numerologies </w:t>
      </w:r>
      <w:r>
        <w:rPr>
          <w:rFonts w:ascii="Times New Roman" w:hAnsi="Times New Roman" w:hint="eastAsia"/>
          <w:sz w:val="20"/>
          <w:szCs w:val="20"/>
        </w:rPr>
        <w:t>configured</w:t>
      </w:r>
      <w:r>
        <w:rPr>
          <w:rFonts w:ascii="Times New Roman" w:hAnsi="Times New Roman"/>
          <w:sz w:val="20"/>
          <w:szCs w:val="20"/>
        </w:rPr>
        <w:t xml:space="preserve"> for a UE simultaneously</w:t>
      </w:r>
      <w:r>
        <w:rPr>
          <w:rFonts w:ascii="Times New Roman" w:hAnsi="Times New Roman" w:hint="eastAsia"/>
          <w:sz w:val="20"/>
          <w:szCs w:val="20"/>
        </w:rPr>
        <w:t xml:space="preserve"> regardless whether contiguous between multiple active bandwidth parts, the </w:t>
      </w:r>
      <w:r>
        <w:rPr>
          <w:rFonts w:ascii="Times New Roman" w:hAnsi="Times New Roman"/>
          <w:sz w:val="20"/>
          <w:szCs w:val="20"/>
        </w:rPr>
        <w:t>influence</w:t>
      </w:r>
      <w:r>
        <w:rPr>
          <w:rFonts w:ascii="Times New Roman" w:hAnsi="Times New Roman" w:hint="eastAsia"/>
          <w:sz w:val="20"/>
          <w:szCs w:val="20"/>
        </w:rPr>
        <w:t xml:space="preserve"> of scheduling will become worse if </w:t>
      </w:r>
      <w:r w:rsidR="00FF3EB4">
        <w:rPr>
          <w:rFonts w:ascii="Times New Roman" w:hAnsi="Times New Roman"/>
          <w:sz w:val="20"/>
          <w:szCs w:val="20"/>
        </w:rPr>
        <w:t xml:space="preserve">the </w:t>
      </w:r>
      <w:r>
        <w:rPr>
          <w:rFonts w:ascii="Times New Roman" w:hAnsi="Times New Roman"/>
          <w:sz w:val="20"/>
          <w:szCs w:val="20"/>
        </w:rPr>
        <w:t>maximum</w:t>
      </w:r>
      <w:r>
        <w:rPr>
          <w:rFonts w:ascii="Times New Roman" w:hAnsi="Times New Roman" w:hint="eastAsia"/>
          <w:sz w:val="20"/>
          <w:szCs w:val="20"/>
        </w:rPr>
        <w:t xml:space="preserve"> SCS within a wideband NR carrier is not used as a reference for each </w:t>
      </w:r>
      <w:r>
        <w:rPr>
          <w:rFonts w:ascii="Times New Roman" w:hAnsi="Times New Roman"/>
          <w:sz w:val="20"/>
          <w:szCs w:val="20"/>
        </w:rPr>
        <w:t>active bandwidth part</w:t>
      </w:r>
      <w:r>
        <w:rPr>
          <w:rFonts w:ascii="Times New Roman" w:hAnsi="Times New Roman" w:hint="eastAsia"/>
          <w:sz w:val="20"/>
          <w:szCs w:val="20"/>
        </w:rPr>
        <w:t>.</w:t>
      </w:r>
    </w:p>
    <w:p w:rsidR="00815DCE" w:rsidRDefault="00DA2A06">
      <w:pPr>
        <w:overflowPunct w:val="0"/>
        <w:autoSpaceDE w:val="0"/>
        <w:autoSpaceDN w:val="0"/>
        <w:adjustRightInd w:val="0"/>
        <w:spacing w:after="120" w:line="360" w:lineRule="auto"/>
        <w:jc w:val="both"/>
        <w:textAlignment w:val="baseline"/>
        <w:rPr>
          <w:rFonts w:ascii="Times New Roman" w:hAnsi="Times New Roman"/>
          <w:b/>
          <w:i/>
          <w:sz w:val="20"/>
          <w:szCs w:val="20"/>
        </w:rPr>
      </w:pPr>
      <w:r>
        <w:rPr>
          <w:rFonts w:ascii="Times New Roman" w:hAnsi="Times New Roman"/>
          <w:b/>
          <w:i/>
          <w:sz w:val="20"/>
          <w:szCs w:val="20"/>
        </w:rPr>
        <w:lastRenderedPageBreak/>
        <w:t xml:space="preserve">Proposal </w:t>
      </w:r>
      <w:r>
        <w:rPr>
          <w:rFonts w:ascii="Times New Roman" w:hAnsi="Times New Roman" w:hint="eastAsia"/>
          <w:b/>
          <w:i/>
          <w:sz w:val="20"/>
          <w:szCs w:val="20"/>
        </w:rPr>
        <w:t>1</w:t>
      </w:r>
      <w:r>
        <w:rPr>
          <w:rFonts w:ascii="Times New Roman" w:hAnsi="Times New Roman"/>
          <w:b/>
          <w:i/>
          <w:sz w:val="20"/>
          <w:szCs w:val="20"/>
        </w:rPr>
        <w:t>:</w:t>
      </w:r>
      <w:r>
        <w:rPr>
          <w:rFonts w:ascii="Times New Roman" w:hAnsi="Times New Roman" w:hint="eastAsia"/>
          <w:b/>
          <w:i/>
          <w:sz w:val="20"/>
          <w:szCs w:val="20"/>
        </w:rPr>
        <w:t xml:space="preserve"> gNB inform </w:t>
      </w:r>
      <w:r w:rsidR="00875BFE">
        <w:rPr>
          <w:rFonts w:ascii="Times New Roman" w:hAnsi="Times New Roman"/>
          <w:b/>
          <w:i/>
          <w:sz w:val="20"/>
          <w:szCs w:val="20"/>
        </w:rPr>
        <w:t>maximum</w:t>
      </w:r>
      <w:r w:rsidR="00875BFE">
        <w:rPr>
          <w:rFonts w:ascii="Times New Roman" w:hAnsi="Times New Roman" w:hint="eastAsia"/>
          <w:b/>
          <w:i/>
          <w:sz w:val="20"/>
          <w:szCs w:val="20"/>
        </w:rPr>
        <w:t xml:space="preserve"> SCS within a wideband NR carrier as </w:t>
      </w:r>
      <w:r>
        <w:rPr>
          <w:rFonts w:ascii="Times New Roman" w:hAnsi="Times New Roman" w:hint="eastAsia"/>
          <w:b/>
          <w:i/>
          <w:sz w:val="20"/>
          <w:szCs w:val="20"/>
        </w:rPr>
        <w:t xml:space="preserve">a </w:t>
      </w:r>
      <w:r>
        <w:rPr>
          <w:rFonts w:ascii="Times New Roman" w:hAnsi="Times New Roman"/>
          <w:b/>
          <w:i/>
          <w:sz w:val="20"/>
          <w:szCs w:val="20"/>
        </w:rPr>
        <w:t xml:space="preserve">reference </w:t>
      </w:r>
      <w:r>
        <w:rPr>
          <w:rFonts w:ascii="Times New Roman" w:hAnsi="Times New Roman" w:hint="eastAsia"/>
          <w:b/>
          <w:i/>
          <w:sz w:val="20"/>
          <w:szCs w:val="20"/>
        </w:rPr>
        <w:t xml:space="preserve">SCS used for dividing bandwidth part to UEs </w:t>
      </w:r>
      <w:r>
        <w:rPr>
          <w:rFonts w:ascii="Times New Roman" w:hAnsi="Times New Roman"/>
          <w:b/>
          <w:i/>
          <w:sz w:val="20"/>
          <w:szCs w:val="20"/>
        </w:rPr>
        <w:t>in addition to</w:t>
      </w:r>
      <w:r>
        <w:rPr>
          <w:rFonts w:ascii="Times New Roman" w:hAnsi="Times New Roman" w:hint="eastAsia"/>
          <w:b/>
          <w:i/>
          <w:sz w:val="20"/>
          <w:szCs w:val="20"/>
        </w:rPr>
        <w:t xml:space="preserve"> n</w:t>
      </w:r>
      <w:r>
        <w:rPr>
          <w:rFonts w:ascii="Times New Roman" w:hAnsi="Times New Roman"/>
          <w:b/>
          <w:i/>
          <w:sz w:val="20"/>
          <w:szCs w:val="20"/>
        </w:rPr>
        <w:t>umerology</w:t>
      </w:r>
      <w:r>
        <w:rPr>
          <w:rFonts w:ascii="Times New Roman" w:hAnsi="Times New Roman" w:hint="eastAsia"/>
          <w:b/>
          <w:i/>
          <w:sz w:val="20"/>
          <w:szCs w:val="20"/>
        </w:rPr>
        <w:t>,</w:t>
      </w:r>
      <w:r>
        <w:rPr>
          <w:rFonts w:ascii="Times New Roman" w:hAnsi="Times New Roman"/>
          <w:b/>
          <w:i/>
          <w:sz w:val="20"/>
          <w:szCs w:val="20"/>
        </w:rPr>
        <w:t xml:space="preserve"> </w:t>
      </w:r>
      <w:r>
        <w:rPr>
          <w:rFonts w:ascii="Times New Roman" w:hAnsi="Times New Roman" w:hint="eastAsia"/>
          <w:b/>
          <w:i/>
          <w:sz w:val="20"/>
          <w:szCs w:val="20"/>
        </w:rPr>
        <w:t>f</w:t>
      </w:r>
      <w:r>
        <w:rPr>
          <w:rFonts w:ascii="Times New Roman" w:hAnsi="Times New Roman"/>
          <w:b/>
          <w:i/>
          <w:sz w:val="20"/>
          <w:szCs w:val="20"/>
        </w:rPr>
        <w:t>requency location</w:t>
      </w:r>
      <w:r>
        <w:rPr>
          <w:rFonts w:ascii="Times New Roman" w:hAnsi="Times New Roman" w:hint="eastAsia"/>
          <w:b/>
          <w:i/>
          <w:sz w:val="20"/>
          <w:szCs w:val="20"/>
        </w:rPr>
        <w:t xml:space="preserve"> and b</w:t>
      </w:r>
      <w:r>
        <w:rPr>
          <w:rFonts w:ascii="Times New Roman" w:hAnsi="Times New Roman"/>
          <w:b/>
          <w:i/>
          <w:sz w:val="20"/>
          <w:szCs w:val="20"/>
        </w:rPr>
        <w:t xml:space="preserve">andwidth </w:t>
      </w:r>
      <w:r>
        <w:rPr>
          <w:rFonts w:ascii="Times New Roman" w:hAnsi="Times New Roman" w:hint="eastAsia"/>
          <w:b/>
          <w:i/>
          <w:sz w:val="20"/>
          <w:szCs w:val="20"/>
        </w:rPr>
        <w:t>when c</w:t>
      </w:r>
      <w:r>
        <w:rPr>
          <w:rFonts w:ascii="Times New Roman" w:hAnsi="Times New Roman"/>
          <w:b/>
          <w:i/>
          <w:sz w:val="20"/>
          <w:szCs w:val="20"/>
        </w:rPr>
        <w:t>onfiguration of a bandwidth part</w:t>
      </w:r>
      <w:r>
        <w:rPr>
          <w:rFonts w:ascii="Times New Roman" w:hAnsi="Times New Roman" w:hint="eastAsia"/>
          <w:b/>
          <w:i/>
          <w:sz w:val="20"/>
          <w:szCs w:val="20"/>
        </w:rPr>
        <w:t>.</w:t>
      </w:r>
    </w:p>
    <w:p w:rsidR="00020E47" w:rsidRDefault="00815DCE"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rPr>
          <w:rFonts w:ascii="Times New Roman" w:hAnsi="Times New Roman"/>
          <w:sz w:val="20"/>
          <w:szCs w:val="20"/>
        </w:rPr>
      </w:pPr>
      <w:r>
        <w:object w:dxaOrig="11677" w:dyaOrig="7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320.25pt" o:ole="">
            <v:imagedata r:id="rId9" o:title=""/>
          </v:shape>
          <o:OLEObject Type="Embed" ProgID="Visio.Drawing.11" ShapeID="_x0000_i1025" DrawAspect="Content" ObjectID="_1563965770" r:id="rId10"/>
        </w:object>
      </w:r>
    </w:p>
    <w:p w:rsidR="00020E47"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rPr>
          <w:rFonts w:ascii="Times New Roman" w:hAnsi="Times New Roman"/>
          <w:sz w:val="20"/>
          <w:szCs w:val="20"/>
        </w:rPr>
      </w:pPr>
      <w:r>
        <w:rPr>
          <w:rFonts w:ascii="Times New Roman" w:hAnsi="Times New Roman"/>
          <w:b/>
          <w:sz w:val="20"/>
          <w:szCs w:val="20"/>
        </w:rPr>
        <w:t>Fig1</w:t>
      </w:r>
      <w:r>
        <w:rPr>
          <w:rFonts w:ascii="Times New Roman" w:hAnsi="Times New Roman" w:hint="eastAsia"/>
          <w:b/>
          <w:sz w:val="20"/>
          <w:szCs w:val="20"/>
        </w:rPr>
        <w:t>. R</w:t>
      </w:r>
      <w:r>
        <w:rPr>
          <w:rFonts w:ascii="Times New Roman" w:hAnsi="Times New Roman"/>
          <w:b/>
          <w:sz w:val="20"/>
          <w:szCs w:val="20"/>
        </w:rPr>
        <w:t xml:space="preserve">eference </w:t>
      </w:r>
      <w:r>
        <w:rPr>
          <w:rFonts w:ascii="Times New Roman" w:hAnsi="Times New Roman" w:hint="eastAsia"/>
          <w:b/>
          <w:sz w:val="20"/>
          <w:szCs w:val="20"/>
        </w:rPr>
        <w:t>SCS used for dividing bandwidth part</w:t>
      </w:r>
    </w:p>
    <w:p w:rsidR="00815DCE" w:rsidRDefault="00DA2A06">
      <w:pPr>
        <w:pStyle w:val="Heading2"/>
        <w:spacing w:line="360" w:lineRule="auto"/>
        <w:ind w:left="567"/>
        <w:jc w:val="both"/>
        <w:rPr>
          <w:rFonts w:ascii="Arial" w:hAnsi="Arial"/>
          <w:sz w:val="28"/>
          <w:szCs w:val="28"/>
        </w:rPr>
      </w:pPr>
      <w:r>
        <w:rPr>
          <w:rFonts w:ascii="Arial" w:hAnsi="Arial" w:hint="eastAsia"/>
          <w:sz w:val="28"/>
          <w:szCs w:val="28"/>
        </w:rPr>
        <w:t>M</w:t>
      </w:r>
      <w:r>
        <w:rPr>
          <w:rFonts w:ascii="Arial" w:hAnsi="Arial"/>
          <w:sz w:val="28"/>
          <w:szCs w:val="28"/>
        </w:rPr>
        <w:t>ultiple bandwidth parts</w:t>
      </w:r>
      <w:r>
        <w:rPr>
          <w:rFonts w:ascii="Arial" w:hAnsi="Arial" w:hint="eastAsia"/>
          <w:sz w:val="28"/>
          <w:szCs w:val="28"/>
        </w:rPr>
        <w:t xml:space="preserve"> operation</w:t>
      </w:r>
    </w:p>
    <w:p w:rsidR="00815DCE"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It has been agreed that </w:t>
      </w:r>
      <w:r>
        <w:rPr>
          <w:rFonts w:ascii="Times New Roman" w:hAnsi="Times New Roman"/>
          <w:sz w:val="20"/>
          <w:szCs w:val="20"/>
        </w:rPr>
        <w:t>each bandwidth part is associated with a specific numerology</w:t>
      </w:r>
      <w:r>
        <w:rPr>
          <w:rFonts w:ascii="Times New Roman" w:hAnsi="Times New Roman" w:hint="eastAsia"/>
          <w:sz w:val="20"/>
          <w:szCs w:val="20"/>
        </w:rPr>
        <w:t xml:space="preserve"> and </w:t>
      </w:r>
      <w:r w:rsidR="00FD5156">
        <w:rPr>
          <w:rFonts w:ascii="Times New Roman" w:hAnsi="Times New Roman"/>
          <w:sz w:val="20"/>
          <w:szCs w:val="20"/>
        </w:rPr>
        <w:t xml:space="preserve">the </w:t>
      </w:r>
      <w:r>
        <w:rPr>
          <w:rFonts w:ascii="Times New Roman" w:hAnsi="Times New Roman" w:hint="eastAsia"/>
          <w:sz w:val="20"/>
          <w:szCs w:val="20"/>
        </w:rPr>
        <w:t>p</w:t>
      </w:r>
      <w:r>
        <w:rPr>
          <w:rFonts w:ascii="Times New Roman" w:eastAsia="MS Mincho" w:hAnsi="Times New Roman"/>
          <w:sz w:val="20"/>
          <w:szCs w:val="20"/>
          <w:lang w:eastAsia="ja-JP"/>
        </w:rPr>
        <w:t>rimary focus is to complete the single active bandwidth part case</w:t>
      </w:r>
      <w:r>
        <w:rPr>
          <w:rFonts w:ascii="Times New Roman" w:hAnsi="Times New Roman" w:hint="eastAsia"/>
          <w:sz w:val="20"/>
          <w:szCs w:val="20"/>
        </w:rPr>
        <w:t xml:space="preserve">. Anyway, </w:t>
      </w:r>
      <w:r>
        <w:rPr>
          <w:rFonts w:ascii="Times New Roman" w:hAnsi="Times New Roman"/>
          <w:sz w:val="20"/>
          <w:szCs w:val="20"/>
        </w:rPr>
        <w:t xml:space="preserve">we </w:t>
      </w:r>
      <w:r>
        <w:rPr>
          <w:rFonts w:ascii="Times New Roman" w:hAnsi="Times New Roman" w:hint="eastAsia"/>
          <w:sz w:val="20"/>
          <w:szCs w:val="20"/>
        </w:rPr>
        <w:t xml:space="preserve">consider that the different traffic </w:t>
      </w:r>
      <w:r w:rsidR="00FD5156">
        <w:rPr>
          <w:rFonts w:ascii="Times New Roman" w:hAnsi="Times New Roman"/>
          <w:sz w:val="20"/>
          <w:szCs w:val="20"/>
        </w:rPr>
        <w:t xml:space="preserve">types </w:t>
      </w:r>
      <w:r>
        <w:rPr>
          <w:rFonts w:ascii="Times New Roman" w:hAnsi="Times New Roman" w:hint="eastAsia"/>
          <w:sz w:val="20"/>
          <w:szCs w:val="20"/>
        </w:rPr>
        <w:t>can use different numerolog</w:t>
      </w:r>
      <w:r w:rsidR="00FD5156">
        <w:rPr>
          <w:rFonts w:ascii="Times New Roman" w:hAnsi="Times New Roman"/>
          <w:sz w:val="20"/>
          <w:szCs w:val="20"/>
        </w:rPr>
        <w:t>ies</w:t>
      </w:r>
      <w:r>
        <w:rPr>
          <w:rFonts w:ascii="Times New Roman" w:hAnsi="Times New Roman" w:hint="eastAsia"/>
          <w:sz w:val="20"/>
          <w:szCs w:val="20"/>
        </w:rPr>
        <w:t xml:space="preserve"> for a UE, e.g. the eMBB traffic </w:t>
      </w:r>
      <w:r w:rsidR="00FD5156">
        <w:rPr>
          <w:rFonts w:ascii="Times New Roman" w:hAnsi="Times New Roman"/>
          <w:sz w:val="20"/>
          <w:szCs w:val="20"/>
        </w:rPr>
        <w:t xml:space="preserve">could be </w:t>
      </w:r>
      <w:r>
        <w:rPr>
          <w:rFonts w:ascii="Times New Roman" w:hAnsi="Times New Roman" w:hint="eastAsia"/>
          <w:sz w:val="20"/>
          <w:szCs w:val="20"/>
        </w:rPr>
        <w:t>using the 15</w:t>
      </w:r>
      <w:r w:rsidR="00A22173">
        <w:rPr>
          <w:rFonts w:ascii="Times New Roman" w:hAnsi="Times New Roman" w:hint="eastAsia"/>
          <w:sz w:val="20"/>
          <w:szCs w:val="20"/>
        </w:rPr>
        <w:t xml:space="preserve"> </w:t>
      </w:r>
      <w:r>
        <w:rPr>
          <w:rFonts w:ascii="Times New Roman" w:hAnsi="Times New Roman" w:hint="eastAsia"/>
          <w:sz w:val="20"/>
          <w:szCs w:val="20"/>
        </w:rPr>
        <w:t>kHz subcarrier</w:t>
      </w:r>
      <w:r w:rsidR="00FD5156">
        <w:rPr>
          <w:rFonts w:ascii="Times New Roman" w:hAnsi="Times New Roman"/>
          <w:sz w:val="20"/>
          <w:szCs w:val="20"/>
        </w:rPr>
        <w:t xml:space="preserve"> spacing</w:t>
      </w:r>
      <w:r>
        <w:rPr>
          <w:rFonts w:ascii="Times New Roman" w:hAnsi="Times New Roman" w:hint="eastAsia"/>
          <w:sz w:val="20"/>
          <w:szCs w:val="20"/>
        </w:rPr>
        <w:t xml:space="preserve"> with NCP and the URLLC traffic </w:t>
      </w:r>
      <w:r w:rsidR="00FD5156">
        <w:rPr>
          <w:rFonts w:ascii="Times New Roman" w:hAnsi="Times New Roman"/>
          <w:sz w:val="20"/>
          <w:szCs w:val="20"/>
        </w:rPr>
        <w:t xml:space="preserve">could be </w:t>
      </w:r>
      <w:r>
        <w:rPr>
          <w:rFonts w:ascii="Times New Roman" w:hAnsi="Times New Roman" w:hint="eastAsia"/>
          <w:sz w:val="20"/>
          <w:szCs w:val="20"/>
        </w:rPr>
        <w:t>using the 60</w:t>
      </w:r>
      <w:r w:rsidR="00A22173">
        <w:rPr>
          <w:rFonts w:ascii="Times New Roman" w:hAnsi="Times New Roman" w:hint="eastAsia"/>
          <w:sz w:val="20"/>
          <w:szCs w:val="20"/>
        </w:rPr>
        <w:t xml:space="preserve"> </w:t>
      </w:r>
      <w:r>
        <w:rPr>
          <w:rFonts w:ascii="Times New Roman" w:hAnsi="Times New Roman" w:hint="eastAsia"/>
          <w:sz w:val="20"/>
          <w:szCs w:val="20"/>
        </w:rPr>
        <w:t xml:space="preserve">kHz subcarrier </w:t>
      </w:r>
      <w:r w:rsidR="00FD5156">
        <w:rPr>
          <w:rFonts w:ascii="Times New Roman" w:hAnsi="Times New Roman"/>
          <w:sz w:val="20"/>
          <w:szCs w:val="20"/>
        </w:rPr>
        <w:t xml:space="preserve">spacing </w:t>
      </w:r>
      <w:r>
        <w:rPr>
          <w:rFonts w:ascii="Times New Roman" w:hAnsi="Times New Roman" w:hint="eastAsia"/>
          <w:sz w:val="20"/>
          <w:szCs w:val="20"/>
        </w:rPr>
        <w:t>with ECP</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Multiple bandwidth parts with </w:t>
      </w:r>
      <w:r>
        <w:rPr>
          <w:rFonts w:ascii="Times New Roman" w:hAnsi="Times New Roman" w:hint="eastAsia"/>
          <w:sz w:val="20"/>
          <w:szCs w:val="20"/>
        </w:rPr>
        <w:t>the different</w:t>
      </w:r>
      <w:r>
        <w:rPr>
          <w:rFonts w:ascii="Times New Roman" w:hAnsi="Times New Roman"/>
          <w:sz w:val="20"/>
          <w:szCs w:val="20"/>
        </w:rPr>
        <w:t xml:space="preserve"> numerolog</w:t>
      </w:r>
      <w:r>
        <w:rPr>
          <w:rFonts w:ascii="Times New Roman" w:hAnsi="Times New Roman" w:hint="eastAsia"/>
          <w:sz w:val="20"/>
          <w:szCs w:val="20"/>
        </w:rPr>
        <w:t xml:space="preserve">ies need </w:t>
      </w:r>
      <w:r w:rsidR="00FD5156">
        <w:rPr>
          <w:rFonts w:ascii="Times New Roman" w:hAnsi="Times New Roman"/>
          <w:sz w:val="20"/>
          <w:szCs w:val="20"/>
        </w:rPr>
        <w:t xml:space="preserve">to </w:t>
      </w:r>
      <w:r>
        <w:rPr>
          <w:rFonts w:ascii="Times New Roman" w:hAnsi="Times New Roman" w:hint="eastAsia"/>
          <w:sz w:val="20"/>
          <w:szCs w:val="20"/>
        </w:rPr>
        <w:t xml:space="preserve">be </w:t>
      </w:r>
      <w:r>
        <w:rPr>
          <w:rFonts w:ascii="Times New Roman" w:hAnsi="Times New Roman"/>
          <w:sz w:val="20"/>
          <w:szCs w:val="20"/>
        </w:rPr>
        <w:t>supported</w:t>
      </w:r>
      <w:r>
        <w:rPr>
          <w:rFonts w:ascii="Times New Roman" w:hAnsi="Times New Roman" w:hint="eastAsia"/>
          <w:sz w:val="20"/>
          <w:szCs w:val="20"/>
        </w:rPr>
        <w:t xml:space="preserve"> in one </w:t>
      </w:r>
      <w:r>
        <w:rPr>
          <w:rFonts w:ascii="Times New Roman" w:hAnsi="Times New Roman"/>
          <w:sz w:val="20"/>
          <w:szCs w:val="20"/>
        </w:rPr>
        <w:t>frequency</w:t>
      </w:r>
      <w:r>
        <w:rPr>
          <w:rFonts w:ascii="Times New Roman" w:hAnsi="Times New Roman" w:hint="eastAsia"/>
          <w:sz w:val="20"/>
          <w:szCs w:val="20"/>
        </w:rPr>
        <w:t xml:space="preserve"> range. The gNB can activate/</w:t>
      </w:r>
      <w:r>
        <w:rPr>
          <w:rFonts w:ascii="Times New Roman" w:hAnsi="Times New Roman"/>
          <w:sz w:val="20"/>
          <w:szCs w:val="20"/>
        </w:rPr>
        <w:t>deactivate</w:t>
      </w:r>
      <w:r>
        <w:rPr>
          <w:rFonts w:ascii="Times New Roman" w:hAnsi="Times New Roman" w:hint="eastAsia"/>
          <w:sz w:val="20"/>
          <w:szCs w:val="20"/>
        </w:rPr>
        <w:t xml:space="preserve"> the </w:t>
      </w:r>
      <w:r>
        <w:rPr>
          <w:rFonts w:ascii="Times New Roman" w:hAnsi="Times New Roman"/>
          <w:sz w:val="20"/>
          <w:szCs w:val="20"/>
        </w:rPr>
        <w:t>bandwidth part</w:t>
      </w:r>
      <w:r>
        <w:rPr>
          <w:rFonts w:ascii="Times New Roman" w:hAnsi="Times New Roman" w:hint="eastAsia"/>
          <w:sz w:val="20"/>
          <w:szCs w:val="20"/>
        </w:rPr>
        <w:t xml:space="preserve"> with 60</w:t>
      </w:r>
      <w:r w:rsidR="00A22173">
        <w:rPr>
          <w:rFonts w:ascii="Times New Roman" w:hAnsi="Times New Roman" w:hint="eastAsia"/>
          <w:sz w:val="20"/>
          <w:szCs w:val="20"/>
        </w:rPr>
        <w:t xml:space="preserve"> </w:t>
      </w:r>
      <w:r>
        <w:rPr>
          <w:rFonts w:ascii="Times New Roman" w:hAnsi="Times New Roman" w:hint="eastAsia"/>
          <w:sz w:val="20"/>
          <w:szCs w:val="20"/>
        </w:rPr>
        <w:t xml:space="preserve">kHz SCS for the URLLC UE </w:t>
      </w:r>
      <w:r w:rsidR="00FD5156">
        <w:rPr>
          <w:rFonts w:ascii="Times New Roman" w:hAnsi="Times New Roman"/>
          <w:sz w:val="20"/>
          <w:szCs w:val="20"/>
        </w:rPr>
        <w:t>depending on the occurrence of URLLC traffic.</w:t>
      </w:r>
      <w:r>
        <w:rPr>
          <w:rFonts w:ascii="Times New Roman" w:hAnsi="Times New Roman" w:hint="eastAsia"/>
          <w:sz w:val="20"/>
          <w:szCs w:val="20"/>
        </w:rPr>
        <w:t xml:space="preserve"> Moreover, when </w:t>
      </w:r>
      <w:r>
        <w:rPr>
          <w:rFonts w:ascii="Times New Roman" w:hAnsi="Times New Roman"/>
          <w:sz w:val="20"/>
          <w:szCs w:val="20"/>
        </w:rPr>
        <w:t xml:space="preserve">multiple bandwidth parts with </w:t>
      </w:r>
      <w:r>
        <w:rPr>
          <w:rFonts w:ascii="Times New Roman" w:hAnsi="Times New Roman" w:hint="eastAsia"/>
          <w:sz w:val="20"/>
          <w:szCs w:val="20"/>
        </w:rPr>
        <w:t>the different</w:t>
      </w:r>
      <w:r>
        <w:rPr>
          <w:rFonts w:ascii="Times New Roman" w:hAnsi="Times New Roman"/>
          <w:sz w:val="20"/>
          <w:szCs w:val="20"/>
        </w:rPr>
        <w:t xml:space="preserve"> numerolog</w:t>
      </w:r>
      <w:r>
        <w:rPr>
          <w:rFonts w:ascii="Times New Roman" w:hAnsi="Times New Roman" w:hint="eastAsia"/>
          <w:sz w:val="20"/>
          <w:szCs w:val="20"/>
        </w:rPr>
        <w:t xml:space="preserve">ies are activated </w:t>
      </w:r>
      <w:r>
        <w:rPr>
          <w:rFonts w:ascii="Times New Roman" w:hAnsi="Times New Roman"/>
          <w:sz w:val="20"/>
          <w:szCs w:val="20"/>
        </w:rPr>
        <w:t>simultaneously</w:t>
      </w:r>
      <w:r>
        <w:rPr>
          <w:rFonts w:ascii="Times New Roman" w:hAnsi="Times New Roman" w:hint="eastAsia"/>
          <w:sz w:val="20"/>
          <w:szCs w:val="20"/>
        </w:rPr>
        <w:t>, they can overlap in the frequency domain</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F</w:t>
      </w:r>
      <w:r>
        <w:rPr>
          <w:rFonts w:ascii="Times New Roman" w:hAnsi="Times New Roman" w:hint="eastAsia"/>
          <w:sz w:val="20"/>
          <w:szCs w:val="20"/>
        </w:rPr>
        <w:t>or example, the URLLC traffic can preempt the resource which has been allocated to the eMBB UE.</w:t>
      </w:r>
    </w:p>
    <w:p w:rsidR="00815DCE" w:rsidRDefault="00DA2A06">
      <w:pPr>
        <w:overflowPunct w:val="0"/>
        <w:autoSpaceDE w:val="0"/>
        <w:autoSpaceDN w:val="0"/>
        <w:adjustRightInd w:val="0"/>
        <w:spacing w:after="120" w:line="360" w:lineRule="auto"/>
        <w:jc w:val="both"/>
        <w:textAlignment w:val="baseline"/>
        <w:rPr>
          <w:rFonts w:ascii="Times New Roman" w:hAnsi="Times New Roman"/>
          <w:b/>
          <w:i/>
          <w:sz w:val="20"/>
          <w:szCs w:val="20"/>
        </w:rPr>
      </w:pPr>
      <w:r>
        <w:rPr>
          <w:rFonts w:ascii="Times New Roman" w:hAnsi="Times New Roman"/>
          <w:b/>
          <w:i/>
          <w:sz w:val="20"/>
          <w:szCs w:val="20"/>
        </w:rPr>
        <w:t>P</w:t>
      </w:r>
      <w:r>
        <w:rPr>
          <w:rFonts w:ascii="Times New Roman" w:hAnsi="Times New Roman" w:hint="eastAsia"/>
          <w:b/>
          <w:i/>
          <w:sz w:val="20"/>
          <w:szCs w:val="20"/>
        </w:rPr>
        <w:t xml:space="preserve">roposal 2: </w:t>
      </w:r>
      <w:r>
        <w:rPr>
          <w:rFonts w:ascii="Times New Roman" w:hAnsi="Times New Roman"/>
          <w:b/>
          <w:i/>
          <w:sz w:val="20"/>
          <w:szCs w:val="20"/>
        </w:rPr>
        <w:t>Simultaneously</w:t>
      </w:r>
      <w:r>
        <w:rPr>
          <w:rFonts w:ascii="Times New Roman" w:hAnsi="Times New Roman" w:hint="eastAsia"/>
          <w:b/>
          <w:i/>
          <w:sz w:val="20"/>
          <w:szCs w:val="20"/>
        </w:rPr>
        <w:t xml:space="preserve"> </w:t>
      </w:r>
      <w:r>
        <w:rPr>
          <w:rFonts w:ascii="Times New Roman" w:hAnsi="Times New Roman"/>
          <w:b/>
          <w:i/>
          <w:sz w:val="20"/>
          <w:szCs w:val="20"/>
        </w:rPr>
        <w:t>a</w:t>
      </w:r>
      <w:r>
        <w:rPr>
          <w:rFonts w:ascii="Times New Roman" w:hAnsi="Times New Roman" w:hint="eastAsia"/>
          <w:b/>
          <w:i/>
          <w:sz w:val="20"/>
          <w:szCs w:val="20"/>
        </w:rPr>
        <w:t>ctivating m</w:t>
      </w:r>
      <w:r>
        <w:rPr>
          <w:rFonts w:ascii="Times New Roman" w:hAnsi="Times New Roman"/>
          <w:b/>
          <w:i/>
          <w:sz w:val="20"/>
          <w:szCs w:val="20"/>
        </w:rPr>
        <w:t>ultiple</w:t>
      </w:r>
      <w:r>
        <w:rPr>
          <w:rFonts w:ascii="Times New Roman" w:hAnsi="Times New Roman" w:hint="eastAsia"/>
          <w:b/>
          <w:i/>
          <w:sz w:val="20"/>
          <w:szCs w:val="20"/>
        </w:rPr>
        <w:t xml:space="preserve"> </w:t>
      </w:r>
      <w:r>
        <w:rPr>
          <w:rFonts w:ascii="Times New Roman" w:hAnsi="Times New Roman"/>
          <w:b/>
          <w:i/>
          <w:sz w:val="20"/>
          <w:szCs w:val="20"/>
        </w:rPr>
        <w:t>bandwidth parts with</w:t>
      </w:r>
      <w:r>
        <w:rPr>
          <w:rFonts w:ascii="Times New Roman" w:hAnsi="Times New Roman" w:hint="eastAsia"/>
          <w:b/>
          <w:i/>
          <w:sz w:val="20"/>
          <w:szCs w:val="20"/>
        </w:rPr>
        <w:t xml:space="preserve"> different</w:t>
      </w:r>
      <w:r>
        <w:rPr>
          <w:rFonts w:ascii="Times New Roman" w:hAnsi="Times New Roman"/>
          <w:b/>
          <w:i/>
          <w:sz w:val="20"/>
          <w:szCs w:val="20"/>
        </w:rPr>
        <w:t xml:space="preserve"> numerolog</w:t>
      </w:r>
      <w:r>
        <w:rPr>
          <w:rFonts w:ascii="Times New Roman" w:hAnsi="Times New Roman" w:hint="eastAsia"/>
          <w:b/>
          <w:i/>
          <w:sz w:val="20"/>
          <w:szCs w:val="20"/>
        </w:rPr>
        <w:t xml:space="preserve">ies should be </w:t>
      </w:r>
      <w:r>
        <w:rPr>
          <w:rFonts w:ascii="Times New Roman" w:hAnsi="Times New Roman"/>
          <w:b/>
          <w:i/>
          <w:sz w:val="20"/>
          <w:szCs w:val="20"/>
        </w:rPr>
        <w:t>supported</w:t>
      </w:r>
      <w:r>
        <w:rPr>
          <w:rFonts w:ascii="Times New Roman" w:hAnsi="Times New Roman" w:hint="eastAsia"/>
          <w:b/>
          <w:i/>
          <w:sz w:val="20"/>
          <w:szCs w:val="20"/>
        </w:rPr>
        <w:t xml:space="preserve"> in one </w:t>
      </w:r>
      <w:r>
        <w:rPr>
          <w:rFonts w:ascii="Times New Roman" w:hAnsi="Times New Roman"/>
          <w:b/>
          <w:i/>
          <w:sz w:val="20"/>
          <w:szCs w:val="20"/>
        </w:rPr>
        <w:t>frequency</w:t>
      </w:r>
      <w:r>
        <w:rPr>
          <w:rFonts w:ascii="Times New Roman" w:hAnsi="Times New Roman" w:hint="eastAsia"/>
          <w:b/>
          <w:i/>
          <w:sz w:val="20"/>
          <w:szCs w:val="20"/>
        </w:rPr>
        <w:t xml:space="preserve"> range.</w:t>
      </w:r>
    </w:p>
    <w:p w:rsidR="00815DCE"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lastRenderedPageBreak/>
        <w:t xml:space="preserve">When switching the bandwidth parts, the transition time will </w:t>
      </w:r>
      <w:r>
        <w:rPr>
          <w:rFonts w:ascii="Times New Roman" w:hAnsi="Times New Roman"/>
          <w:sz w:val="20"/>
          <w:szCs w:val="20"/>
        </w:rPr>
        <w:t>be taken</w:t>
      </w:r>
      <w:r w:rsidR="00FD5156">
        <w:rPr>
          <w:rFonts w:ascii="Times New Roman" w:hAnsi="Times New Roman"/>
          <w:sz w:val="20"/>
          <w:szCs w:val="20"/>
        </w:rPr>
        <w:t xml:space="preserve"> into account</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T</w:t>
      </w:r>
      <w:r>
        <w:rPr>
          <w:rFonts w:ascii="Times New Roman" w:hAnsi="Times New Roman" w:hint="eastAsia"/>
          <w:sz w:val="20"/>
          <w:szCs w:val="20"/>
        </w:rPr>
        <w:t xml:space="preserve">o reduce the </w:t>
      </w:r>
      <w:r>
        <w:rPr>
          <w:rFonts w:ascii="Times New Roman" w:hAnsi="Times New Roman"/>
          <w:sz w:val="20"/>
          <w:szCs w:val="20"/>
        </w:rPr>
        <w:t>impact</w:t>
      </w:r>
      <w:r>
        <w:rPr>
          <w:rFonts w:ascii="Times New Roman" w:hAnsi="Times New Roman" w:hint="eastAsia"/>
          <w:sz w:val="20"/>
          <w:szCs w:val="20"/>
        </w:rPr>
        <w:t xml:space="preserve"> on the UE throughput and </w:t>
      </w:r>
      <w:r w:rsidR="00FD5156">
        <w:rPr>
          <w:rFonts w:ascii="Times New Roman" w:hAnsi="Times New Roman"/>
          <w:sz w:val="20"/>
          <w:szCs w:val="20"/>
        </w:rPr>
        <w:t xml:space="preserve">to </w:t>
      </w:r>
      <w:r>
        <w:rPr>
          <w:rFonts w:ascii="Times New Roman" w:hAnsi="Times New Roman"/>
          <w:sz w:val="20"/>
          <w:szCs w:val="20"/>
        </w:rPr>
        <w:t>perform</w:t>
      </w:r>
      <w:r>
        <w:rPr>
          <w:rFonts w:ascii="Times New Roman" w:hAnsi="Times New Roman" w:hint="eastAsia"/>
          <w:sz w:val="20"/>
          <w:szCs w:val="20"/>
        </w:rPr>
        <w:t xml:space="preserve"> switch</w:t>
      </w:r>
      <w:r w:rsidR="00FD5156">
        <w:rPr>
          <w:rFonts w:ascii="Times New Roman" w:hAnsi="Times New Roman"/>
          <w:sz w:val="20"/>
          <w:szCs w:val="20"/>
        </w:rPr>
        <w:t>ing</w:t>
      </w:r>
      <w:r>
        <w:rPr>
          <w:rFonts w:ascii="Times New Roman" w:hAnsi="Times New Roman" w:hint="eastAsia"/>
          <w:sz w:val="20"/>
          <w:szCs w:val="20"/>
        </w:rPr>
        <w:t xml:space="preserve"> to the bandwidth part with low power consumption, the transition time need</w:t>
      </w:r>
      <w:r w:rsidR="00FD5156">
        <w:rPr>
          <w:rFonts w:ascii="Times New Roman" w:hAnsi="Times New Roman"/>
          <w:sz w:val="20"/>
          <w:szCs w:val="20"/>
        </w:rPr>
        <w:t>s to</w:t>
      </w:r>
      <w:r>
        <w:rPr>
          <w:rFonts w:ascii="Times New Roman" w:hAnsi="Times New Roman" w:hint="eastAsia"/>
          <w:sz w:val="20"/>
          <w:szCs w:val="20"/>
        </w:rPr>
        <w:t xml:space="preserve"> be minimized. In the RAN1 #89 meeting, both the DCI signal and MAC CE are considered as the options. In fact, the MAC CE </w:t>
      </w:r>
      <w:r w:rsidR="00FD5156">
        <w:rPr>
          <w:rFonts w:ascii="Times New Roman" w:hAnsi="Times New Roman"/>
          <w:sz w:val="20"/>
          <w:szCs w:val="20"/>
        </w:rPr>
        <w:t>requires</w:t>
      </w:r>
      <w:r>
        <w:rPr>
          <w:rFonts w:ascii="Times New Roman" w:hAnsi="Times New Roman" w:hint="eastAsia"/>
          <w:sz w:val="20"/>
          <w:szCs w:val="20"/>
        </w:rPr>
        <w:t xml:space="preserve"> more processing time</w:t>
      </w:r>
      <w:r w:rsidR="00FD5156">
        <w:rPr>
          <w:rFonts w:ascii="Times New Roman" w:hAnsi="Times New Roman"/>
          <w:sz w:val="20"/>
          <w:szCs w:val="20"/>
        </w:rPr>
        <w:t>, the</w:t>
      </w:r>
      <w:r>
        <w:rPr>
          <w:rFonts w:ascii="Times New Roman" w:hAnsi="Times New Roman" w:hint="eastAsia"/>
          <w:sz w:val="20"/>
          <w:szCs w:val="20"/>
        </w:rPr>
        <w:t xml:space="preserve"> DCI signal might be a better choice. When a UE is notified to switch to another bandwidth part, the bandwidth part ID should be included in the DCI signal. A bandwidth part ID </w:t>
      </w:r>
      <w:r>
        <w:rPr>
          <w:rFonts w:ascii="Times New Roman" w:hAnsi="Times New Roman"/>
          <w:sz w:val="20"/>
          <w:szCs w:val="20"/>
        </w:rPr>
        <w:t>associated</w:t>
      </w:r>
      <w:r>
        <w:rPr>
          <w:rFonts w:ascii="Times New Roman" w:hAnsi="Times New Roman" w:hint="eastAsia"/>
          <w:sz w:val="20"/>
          <w:szCs w:val="20"/>
        </w:rPr>
        <w:t xml:space="preserve"> with the bandwidth part can be configured by the RRC signal. Multiple bandwidth parts with overlapping in the frequency domain can</w:t>
      </w:r>
      <w:r>
        <w:rPr>
          <w:rFonts w:ascii="Times New Roman" w:hAnsi="Times New Roman"/>
          <w:sz w:val="20"/>
          <w:szCs w:val="20"/>
        </w:rPr>
        <w:t xml:space="preserve"> be</w:t>
      </w:r>
      <w:r>
        <w:rPr>
          <w:rFonts w:ascii="Times New Roman" w:hAnsi="Times New Roman" w:hint="eastAsia"/>
          <w:sz w:val="20"/>
          <w:szCs w:val="20"/>
        </w:rPr>
        <w:t xml:space="preserve"> configured to the same UE.</w:t>
      </w:r>
    </w:p>
    <w:p w:rsidR="00020E47"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When bandwidth adaptation is used for UE power saving, a bandwidth part ID with 1bit might be enough. </w:t>
      </w:r>
      <w:r w:rsidR="00F216B2">
        <w:rPr>
          <w:rFonts w:ascii="Times New Roman" w:hAnsi="Times New Roman"/>
          <w:sz w:val="20"/>
          <w:szCs w:val="20"/>
        </w:rPr>
        <w:t xml:space="preserve">The </w:t>
      </w:r>
      <w:r>
        <w:rPr>
          <w:rFonts w:ascii="Times New Roman" w:hAnsi="Times New Roman" w:hint="eastAsia"/>
          <w:sz w:val="20"/>
          <w:szCs w:val="20"/>
        </w:rPr>
        <w:t xml:space="preserve">UE </w:t>
      </w:r>
      <w:r>
        <w:rPr>
          <w:rFonts w:ascii="Times New Roman" w:hAnsi="Times New Roman"/>
          <w:sz w:val="20"/>
          <w:szCs w:val="20"/>
        </w:rPr>
        <w:t>can</w:t>
      </w:r>
      <w:r>
        <w:rPr>
          <w:rFonts w:ascii="Times New Roman" w:hAnsi="Times New Roman" w:hint="eastAsia"/>
          <w:sz w:val="20"/>
          <w:szCs w:val="20"/>
        </w:rPr>
        <w:t xml:space="preserve"> enter into the mode for power saving </w:t>
      </w:r>
      <w:r>
        <w:rPr>
          <w:rFonts w:ascii="Times New Roman" w:hAnsi="Times New Roman"/>
          <w:sz w:val="20"/>
          <w:szCs w:val="20"/>
        </w:rPr>
        <w:t>from</w:t>
      </w:r>
      <w:r>
        <w:rPr>
          <w:rFonts w:ascii="Times New Roman" w:hAnsi="Times New Roman" w:hint="eastAsia"/>
          <w:sz w:val="20"/>
          <w:szCs w:val="20"/>
        </w:rPr>
        <w:t xml:space="preserve"> the normal mode. </w:t>
      </w:r>
      <w:r>
        <w:rPr>
          <w:rFonts w:ascii="Times New Roman" w:hAnsi="Times New Roman"/>
          <w:sz w:val="20"/>
          <w:szCs w:val="20"/>
        </w:rPr>
        <w:t>T</w:t>
      </w:r>
      <w:r>
        <w:rPr>
          <w:rFonts w:ascii="Times New Roman" w:hAnsi="Times New Roman" w:hint="eastAsia"/>
          <w:sz w:val="20"/>
          <w:szCs w:val="20"/>
        </w:rPr>
        <w:t>he f</w:t>
      </w:r>
      <w:r>
        <w:rPr>
          <w:rFonts w:ascii="Times New Roman" w:hAnsi="Times New Roman"/>
          <w:sz w:val="20"/>
          <w:szCs w:val="20"/>
        </w:rPr>
        <w:t>requency location</w:t>
      </w:r>
      <w:r>
        <w:rPr>
          <w:rFonts w:ascii="Times New Roman" w:hAnsi="Times New Roman" w:hint="eastAsia"/>
          <w:sz w:val="20"/>
          <w:szCs w:val="20"/>
        </w:rPr>
        <w:t xml:space="preserve"> and the bandwidth of the bandwidth part for the power saving or the normal mode can be configured/reconfigured by the RRC signal. </w:t>
      </w:r>
      <w:r>
        <w:rPr>
          <w:rFonts w:ascii="Times New Roman" w:hAnsi="Times New Roman"/>
          <w:sz w:val="20"/>
          <w:szCs w:val="20"/>
        </w:rPr>
        <w:t>If</w:t>
      </w:r>
      <w:r>
        <w:rPr>
          <w:rFonts w:ascii="Times New Roman" w:hAnsi="Times New Roman" w:hint="eastAsia"/>
          <w:sz w:val="20"/>
          <w:szCs w:val="20"/>
        </w:rPr>
        <w:t xml:space="preserve"> changing the frequency location of the bandwidth part is </w:t>
      </w:r>
      <w:r w:rsidR="00F216B2">
        <w:rPr>
          <w:rFonts w:ascii="Times New Roman" w:hAnsi="Times New Roman"/>
          <w:sz w:val="20"/>
          <w:szCs w:val="20"/>
        </w:rPr>
        <w:t xml:space="preserve">done </w:t>
      </w:r>
      <w:r>
        <w:rPr>
          <w:rFonts w:ascii="Times New Roman" w:hAnsi="Times New Roman" w:hint="eastAsia"/>
          <w:sz w:val="20"/>
          <w:szCs w:val="20"/>
        </w:rPr>
        <w:t xml:space="preserve">to dynamically balance the load, it seems </w:t>
      </w:r>
      <w:r w:rsidR="00F216B2">
        <w:rPr>
          <w:rFonts w:ascii="Times New Roman" w:hAnsi="Times New Roman"/>
          <w:sz w:val="20"/>
          <w:szCs w:val="20"/>
        </w:rPr>
        <w:t>that</w:t>
      </w:r>
      <w:r>
        <w:rPr>
          <w:rFonts w:ascii="Times New Roman" w:hAnsi="Times New Roman" w:hint="eastAsia"/>
          <w:sz w:val="20"/>
          <w:szCs w:val="20"/>
        </w:rPr>
        <w:t xml:space="preserve"> RRC signal</w:t>
      </w:r>
      <w:r w:rsidR="00F216B2">
        <w:rPr>
          <w:rFonts w:ascii="Times New Roman" w:hAnsi="Times New Roman"/>
          <w:sz w:val="20"/>
          <w:szCs w:val="20"/>
        </w:rPr>
        <w:t>ing</w:t>
      </w:r>
      <w:r>
        <w:rPr>
          <w:rFonts w:ascii="Times New Roman" w:hAnsi="Times New Roman" w:hint="eastAsia"/>
          <w:sz w:val="20"/>
          <w:szCs w:val="20"/>
        </w:rPr>
        <w:t xml:space="preserve"> can notify th</w:t>
      </w:r>
      <w:r w:rsidR="00F216B2">
        <w:rPr>
          <w:rFonts w:ascii="Times New Roman" w:hAnsi="Times New Roman"/>
          <w:sz w:val="20"/>
          <w:szCs w:val="20"/>
        </w:rPr>
        <w:t>is</w:t>
      </w:r>
      <w:r>
        <w:rPr>
          <w:rFonts w:ascii="Times New Roman" w:hAnsi="Times New Roman" w:hint="eastAsia"/>
          <w:sz w:val="20"/>
          <w:szCs w:val="20"/>
        </w:rPr>
        <w:t xml:space="preserve"> change. However, it is also </w:t>
      </w:r>
      <w:r>
        <w:rPr>
          <w:rFonts w:ascii="Times New Roman" w:hAnsi="Times New Roman"/>
          <w:sz w:val="20"/>
          <w:szCs w:val="20"/>
        </w:rPr>
        <w:t>foreseen</w:t>
      </w:r>
      <w:r>
        <w:rPr>
          <w:rFonts w:ascii="Times New Roman" w:hAnsi="Times New Roman" w:hint="eastAsia"/>
          <w:sz w:val="20"/>
          <w:szCs w:val="20"/>
        </w:rPr>
        <w:t xml:space="preserve"> that the load balancing by slot level can bring some gains at the cost of the small DCI overhead</w:t>
      </w:r>
      <w:r w:rsidR="00F216B2">
        <w:rPr>
          <w:rFonts w:ascii="Times New Roman" w:hAnsi="Times New Roman"/>
          <w:sz w:val="20"/>
          <w:szCs w:val="20"/>
        </w:rPr>
        <w:t xml:space="preserve"> inc</w:t>
      </w:r>
      <w:r w:rsidR="00A858AB">
        <w:rPr>
          <w:rFonts w:ascii="Times New Roman" w:hAnsi="Times New Roman"/>
          <w:sz w:val="20"/>
          <w:szCs w:val="20"/>
        </w:rPr>
        <w:t>r</w:t>
      </w:r>
      <w:r w:rsidR="00F216B2">
        <w:rPr>
          <w:rFonts w:ascii="Times New Roman" w:hAnsi="Times New Roman"/>
          <w:sz w:val="20"/>
          <w:szCs w:val="20"/>
        </w:rPr>
        <w:t>ease</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F</w:t>
      </w:r>
      <w:r>
        <w:rPr>
          <w:rFonts w:ascii="Times New Roman" w:hAnsi="Times New Roman" w:hint="eastAsia"/>
          <w:sz w:val="20"/>
          <w:szCs w:val="20"/>
        </w:rPr>
        <w:t>or example, the bandwidth part ID has a 2 bit length, one of the four states is to indicate the normal mode, and the three</w:t>
      </w:r>
      <w:r>
        <w:rPr>
          <w:rFonts w:ascii="Times New Roman" w:hAnsi="Times New Roman"/>
          <w:sz w:val="20"/>
          <w:szCs w:val="20"/>
        </w:rPr>
        <w:t xml:space="preserve"> </w:t>
      </w:r>
      <w:r>
        <w:rPr>
          <w:rFonts w:ascii="Times New Roman" w:hAnsi="Times New Roman" w:hint="eastAsia"/>
          <w:sz w:val="20"/>
          <w:szCs w:val="20"/>
        </w:rPr>
        <w:t>state</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are</w:t>
      </w:r>
      <w:r>
        <w:rPr>
          <w:rFonts w:ascii="Times New Roman" w:hAnsi="Times New Roman" w:hint="eastAsia"/>
          <w:sz w:val="20"/>
          <w:szCs w:val="20"/>
        </w:rPr>
        <w:t xml:space="preserve"> for </w:t>
      </w:r>
      <w:r>
        <w:rPr>
          <w:rFonts w:ascii="Times New Roman" w:hAnsi="Times New Roman"/>
          <w:sz w:val="20"/>
          <w:szCs w:val="20"/>
        </w:rPr>
        <w:t xml:space="preserve">other </w:t>
      </w:r>
      <w:r>
        <w:rPr>
          <w:rFonts w:ascii="Times New Roman" w:hAnsi="Times New Roman" w:hint="eastAsia"/>
          <w:sz w:val="20"/>
          <w:szCs w:val="20"/>
        </w:rPr>
        <w:t>mode</w:t>
      </w:r>
      <w:r>
        <w:rPr>
          <w:rFonts w:ascii="Times New Roman" w:hAnsi="Times New Roman"/>
          <w:sz w:val="20"/>
          <w:szCs w:val="20"/>
        </w:rPr>
        <w:t>s of power saving/load balancing.</w:t>
      </w:r>
      <w:r>
        <w:rPr>
          <w:rFonts w:ascii="Times New Roman" w:hAnsi="Times New Roman" w:hint="eastAsia"/>
          <w:sz w:val="20"/>
          <w:szCs w:val="20"/>
        </w:rPr>
        <w:t xml:space="preserve"> </w:t>
      </w:r>
    </w:p>
    <w:p w:rsidR="00815DCE" w:rsidRDefault="00DA2A06">
      <w:pPr>
        <w:overflowPunct w:val="0"/>
        <w:autoSpaceDE w:val="0"/>
        <w:autoSpaceDN w:val="0"/>
        <w:adjustRightInd w:val="0"/>
        <w:spacing w:after="120" w:line="360" w:lineRule="auto"/>
        <w:jc w:val="both"/>
        <w:textAlignment w:val="baseline"/>
        <w:rPr>
          <w:rFonts w:ascii="Times New Roman" w:hAnsi="Times New Roman"/>
          <w:b/>
          <w:i/>
          <w:sz w:val="20"/>
          <w:szCs w:val="20"/>
        </w:rPr>
      </w:pPr>
      <w:r>
        <w:rPr>
          <w:rFonts w:ascii="Times New Roman" w:hAnsi="Times New Roman" w:hint="eastAsia"/>
          <w:b/>
          <w:i/>
          <w:sz w:val="20"/>
          <w:szCs w:val="20"/>
        </w:rPr>
        <w:t xml:space="preserve">Proposal 3: The DCI signal including the bandwidth part ID can be used to </w:t>
      </w:r>
      <w:r>
        <w:rPr>
          <w:rFonts w:ascii="Times New Roman" w:hAnsi="Times New Roman"/>
          <w:b/>
          <w:i/>
          <w:sz w:val="20"/>
          <w:szCs w:val="20"/>
        </w:rPr>
        <w:t xml:space="preserve">support dynamic </w:t>
      </w:r>
      <w:r>
        <w:rPr>
          <w:rFonts w:ascii="Times New Roman" w:hAnsi="Times New Roman" w:hint="eastAsia"/>
          <w:b/>
          <w:i/>
          <w:sz w:val="20"/>
          <w:szCs w:val="20"/>
        </w:rPr>
        <w:t xml:space="preserve">bandwidth part </w:t>
      </w:r>
      <w:r>
        <w:rPr>
          <w:rFonts w:ascii="Times New Roman" w:hAnsi="Times New Roman"/>
          <w:b/>
          <w:i/>
          <w:sz w:val="20"/>
          <w:szCs w:val="20"/>
        </w:rPr>
        <w:t>switching</w:t>
      </w:r>
      <w:r>
        <w:rPr>
          <w:rFonts w:ascii="Times New Roman" w:hAnsi="Times New Roman" w:hint="eastAsia"/>
          <w:b/>
          <w:i/>
          <w:sz w:val="20"/>
          <w:szCs w:val="20"/>
        </w:rPr>
        <w:t>.</w:t>
      </w:r>
    </w:p>
    <w:p w:rsidR="00D47A48"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When the </w:t>
      </w:r>
      <w:r>
        <w:rPr>
          <w:rFonts w:ascii="Times New Roman" w:hAnsi="Times New Roman"/>
          <w:sz w:val="20"/>
          <w:szCs w:val="20"/>
        </w:rPr>
        <w:t>acknowledgement</w:t>
      </w:r>
      <w:r>
        <w:rPr>
          <w:rFonts w:ascii="Times New Roman" w:hAnsi="Times New Roman" w:hint="eastAsia"/>
          <w:sz w:val="20"/>
          <w:szCs w:val="20"/>
        </w:rPr>
        <w:t xml:space="preserve"> doesn</w:t>
      </w:r>
      <w:r>
        <w:rPr>
          <w:rFonts w:ascii="Times New Roman" w:hAnsi="Times New Roman"/>
          <w:sz w:val="20"/>
          <w:szCs w:val="20"/>
        </w:rPr>
        <w:t>’</w:t>
      </w:r>
      <w:r>
        <w:rPr>
          <w:rFonts w:ascii="Times New Roman" w:hAnsi="Times New Roman" w:hint="eastAsia"/>
          <w:sz w:val="20"/>
          <w:szCs w:val="20"/>
        </w:rPr>
        <w:t xml:space="preserve">t exist for the bandwidth part switching, the gNB and UE </w:t>
      </w:r>
      <w:r w:rsidR="00A858AB">
        <w:rPr>
          <w:rFonts w:ascii="Times New Roman" w:hAnsi="Times New Roman"/>
          <w:sz w:val="20"/>
          <w:szCs w:val="20"/>
        </w:rPr>
        <w:t>could happen to</w:t>
      </w:r>
      <w:r>
        <w:rPr>
          <w:rFonts w:ascii="Times New Roman" w:hAnsi="Times New Roman" w:hint="eastAsia"/>
          <w:sz w:val="20"/>
          <w:szCs w:val="20"/>
        </w:rPr>
        <w:t xml:space="preserve"> work in different DL bandwidth part</w:t>
      </w:r>
      <w:r w:rsidR="00A858AB">
        <w:rPr>
          <w:rFonts w:ascii="Times New Roman" w:hAnsi="Times New Roman"/>
          <w:sz w:val="20"/>
          <w:szCs w:val="20"/>
        </w:rPr>
        <w:t>s</w:t>
      </w:r>
      <w:r>
        <w:rPr>
          <w:rFonts w:ascii="Times New Roman" w:hAnsi="Times New Roman"/>
          <w:sz w:val="20"/>
          <w:szCs w:val="20"/>
        </w:rPr>
        <w:t xml:space="preserve"> in case </w:t>
      </w:r>
      <w:r w:rsidR="00A858AB">
        <w:rPr>
          <w:rFonts w:ascii="Times New Roman" w:hAnsi="Times New Roman"/>
          <w:sz w:val="20"/>
          <w:szCs w:val="20"/>
        </w:rPr>
        <w:t xml:space="preserve">the </w:t>
      </w:r>
      <w:r>
        <w:rPr>
          <w:rFonts w:ascii="Times New Roman" w:hAnsi="Times New Roman"/>
          <w:sz w:val="20"/>
          <w:szCs w:val="20"/>
        </w:rPr>
        <w:t>UE missed the DCI</w:t>
      </w:r>
      <w:r>
        <w:rPr>
          <w:rFonts w:ascii="Times New Roman" w:hAnsi="Times New Roman" w:hint="eastAsia"/>
          <w:sz w:val="20"/>
          <w:szCs w:val="20"/>
        </w:rPr>
        <w:t xml:space="preserve">. </w:t>
      </w:r>
      <w:r>
        <w:rPr>
          <w:rFonts w:ascii="Times New Roman" w:hAnsi="Times New Roman"/>
          <w:sz w:val="20"/>
          <w:szCs w:val="20"/>
        </w:rPr>
        <w:t>However, simple acknowledgement</w:t>
      </w:r>
      <w:r>
        <w:rPr>
          <w:rFonts w:ascii="Times New Roman" w:hAnsi="Times New Roman" w:hint="eastAsia"/>
          <w:sz w:val="20"/>
          <w:szCs w:val="20"/>
        </w:rPr>
        <w:t xml:space="preserve"> </w:t>
      </w:r>
      <w:r>
        <w:rPr>
          <w:rFonts w:ascii="Times New Roman" w:hAnsi="Times New Roman"/>
          <w:sz w:val="20"/>
          <w:szCs w:val="20"/>
        </w:rPr>
        <w:t>will not fully avoid misunderstanding. I</w:t>
      </w:r>
      <w:r>
        <w:rPr>
          <w:rFonts w:ascii="Times New Roman" w:hAnsi="Times New Roman" w:hint="eastAsia"/>
          <w:sz w:val="20"/>
          <w:szCs w:val="20"/>
        </w:rPr>
        <w:t xml:space="preserve">f the gNB </w:t>
      </w:r>
      <w:r>
        <w:rPr>
          <w:rFonts w:ascii="Times New Roman" w:hAnsi="Times New Roman"/>
          <w:sz w:val="20"/>
          <w:szCs w:val="20"/>
        </w:rPr>
        <w:t>receives</w:t>
      </w:r>
      <w:r>
        <w:rPr>
          <w:rFonts w:ascii="Times New Roman" w:hAnsi="Times New Roman" w:hint="eastAsia"/>
          <w:sz w:val="20"/>
          <w:szCs w:val="20"/>
        </w:rPr>
        <w:t xml:space="preserve"> the DTX, it can</w:t>
      </w:r>
      <w:r>
        <w:rPr>
          <w:rFonts w:ascii="Times New Roman" w:hAnsi="Times New Roman"/>
          <w:sz w:val="20"/>
          <w:szCs w:val="20"/>
        </w:rPr>
        <w:t>’</w:t>
      </w:r>
      <w:r>
        <w:rPr>
          <w:rFonts w:ascii="Times New Roman" w:hAnsi="Times New Roman" w:hint="eastAsia"/>
          <w:sz w:val="20"/>
          <w:szCs w:val="20"/>
        </w:rPr>
        <w:t>t decide whether the UE has missed the PDCCH or the gNB has missed the ACK feedback</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Those </w:t>
      </w:r>
      <w:r w:rsidR="00A858AB">
        <w:rPr>
          <w:rFonts w:ascii="Times New Roman" w:hAnsi="Times New Roman"/>
          <w:sz w:val="20"/>
          <w:szCs w:val="20"/>
        </w:rPr>
        <w:t xml:space="preserve">scenarios </w:t>
      </w:r>
      <w:r>
        <w:rPr>
          <w:rFonts w:ascii="Times New Roman" w:hAnsi="Times New Roman"/>
          <w:sz w:val="20"/>
          <w:szCs w:val="20"/>
        </w:rPr>
        <w:t xml:space="preserve">are shown </w:t>
      </w:r>
      <w:r>
        <w:rPr>
          <w:rFonts w:ascii="Times New Roman" w:hAnsi="Times New Roman" w:hint="eastAsia"/>
          <w:sz w:val="20"/>
          <w:szCs w:val="20"/>
        </w:rPr>
        <w:t xml:space="preserve">as the case 1 and case 2 in Fig2. </w:t>
      </w:r>
      <w:r>
        <w:rPr>
          <w:rFonts w:ascii="Times New Roman" w:hAnsi="Times New Roman"/>
          <w:sz w:val="20"/>
          <w:szCs w:val="20"/>
        </w:rPr>
        <w:t>T</w:t>
      </w:r>
      <w:r>
        <w:rPr>
          <w:rFonts w:ascii="Times New Roman" w:hAnsi="Times New Roman" w:hint="eastAsia"/>
          <w:sz w:val="20"/>
          <w:szCs w:val="20"/>
        </w:rPr>
        <w:t>he problem that the gNB and the UE might work in the different DL bandwidth part</w:t>
      </w:r>
      <w:r>
        <w:rPr>
          <w:rFonts w:ascii="Times New Roman" w:hAnsi="Times New Roman"/>
          <w:sz w:val="20"/>
          <w:szCs w:val="20"/>
        </w:rPr>
        <w:t>s happen in both cases</w:t>
      </w:r>
      <w:r>
        <w:rPr>
          <w:rFonts w:ascii="Times New Roman" w:hAnsi="Times New Roman" w:hint="eastAsia"/>
          <w:sz w:val="20"/>
          <w:szCs w:val="20"/>
        </w:rPr>
        <w:t>.</w:t>
      </w:r>
    </w:p>
    <w:p w:rsidR="00020E47"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To reduce the effect, the gNB can transmit the PDCCH in both the bandwidth part A and the target</w:t>
      </w:r>
      <w:r>
        <w:rPr>
          <w:rFonts w:ascii="Times New Roman" w:hAnsi="Times New Roman"/>
          <w:sz w:val="20"/>
          <w:szCs w:val="20"/>
        </w:rPr>
        <w:t>ed</w:t>
      </w:r>
      <w:r>
        <w:rPr>
          <w:rFonts w:ascii="Times New Roman" w:hAnsi="Times New Roman" w:hint="eastAsia"/>
          <w:sz w:val="20"/>
          <w:szCs w:val="20"/>
        </w:rPr>
        <w:t xml:space="preserve"> bandwidth part B using the DCI including the ID of the bandwidth part B</w:t>
      </w:r>
      <w:r>
        <w:rPr>
          <w:rFonts w:ascii="Times New Roman" w:hAnsi="Times New Roman"/>
          <w:sz w:val="20"/>
          <w:szCs w:val="20"/>
        </w:rPr>
        <w:t>.</w:t>
      </w:r>
      <w:r>
        <w:rPr>
          <w:rFonts w:ascii="Times New Roman" w:hAnsi="Times New Roman" w:hint="eastAsia"/>
          <w:sz w:val="20"/>
          <w:szCs w:val="20"/>
        </w:rPr>
        <w:t xml:space="preserve"> gNB can confirm the UE has switched to the target bandwidth part B</w:t>
      </w:r>
      <w:r>
        <w:rPr>
          <w:rFonts w:ascii="Times New Roman" w:hAnsi="Times New Roman"/>
          <w:sz w:val="20"/>
          <w:szCs w:val="20"/>
        </w:rPr>
        <w:t xml:space="preserve"> afterward</w:t>
      </w:r>
      <w:r w:rsidR="00A858AB">
        <w:rPr>
          <w:rFonts w:ascii="Times New Roman" w:hAnsi="Times New Roman"/>
          <w:sz w:val="20"/>
          <w:szCs w:val="20"/>
        </w:rPr>
        <w:t>s</w:t>
      </w:r>
      <w:r>
        <w:rPr>
          <w:rFonts w:ascii="Times New Roman" w:hAnsi="Times New Roman" w:hint="eastAsia"/>
          <w:sz w:val="20"/>
          <w:szCs w:val="20"/>
        </w:rPr>
        <w:t xml:space="preserve">. Once the gNB confirms </w:t>
      </w:r>
      <w:r w:rsidR="00A858AB">
        <w:rPr>
          <w:rFonts w:ascii="Times New Roman" w:hAnsi="Times New Roman"/>
          <w:sz w:val="20"/>
          <w:szCs w:val="20"/>
        </w:rPr>
        <w:t xml:space="preserve">that </w:t>
      </w:r>
      <w:r>
        <w:rPr>
          <w:rFonts w:ascii="Times New Roman" w:hAnsi="Times New Roman" w:hint="eastAsia"/>
          <w:sz w:val="20"/>
          <w:szCs w:val="20"/>
        </w:rPr>
        <w:t xml:space="preserve">the UE has worked in </w:t>
      </w:r>
      <w:r>
        <w:rPr>
          <w:rFonts w:ascii="Times New Roman" w:hAnsi="Times New Roman"/>
          <w:sz w:val="20"/>
          <w:szCs w:val="20"/>
        </w:rPr>
        <w:t>the</w:t>
      </w:r>
      <w:r>
        <w:rPr>
          <w:rFonts w:ascii="Times New Roman" w:hAnsi="Times New Roman" w:hint="eastAsia"/>
          <w:sz w:val="20"/>
          <w:szCs w:val="20"/>
        </w:rPr>
        <w:t xml:space="preserve"> bandwidth pa</w:t>
      </w:r>
      <w:r w:rsidR="00A858AB">
        <w:rPr>
          <w:rFonts w:ascii="Times New Roman" w:hAnsi="Times New Roman"/>
          <w:sz w:val="20"/>
          <w:szCs w:val="20"/>
        </w:rPr>
        <w:t>r</w:t>
      </w:r>
      <w:r>
        <w:rPr>
          <w:rFonts w:ascii="Times New Roman" w:hAnsi="Times New Roman" w:hint="eastAsia"/>
          <w:sz w:val="20"/>
          <w:szCs w:val="20"/>
        </w:rPr>
        <w:t xml:space="preserve">t B, the gNB </w:t>
      </w:r>
      <w:r>
        <w:rPr>
          <w:rFonts w:ascii="Times New Roman" w:hAnsi="Times New Roman"/>
          <w:sz w:val="20"/>
          <w:szCs w:val="20"/>
        </w:rPr>
        <w:t>can</w:t>
      </w:r>
      <w:r>
        <w:rPr>
          <w:rFonts w:ascii="Times New Roman" w:hAnsi="Times New Roman" w:hint="eastAsia"/>
          <w:sz w:val="20"/>
          <w:szCs w:val="20"/>
        </w:rPr>
        <w:t xml:space="preserve"> schedule the UE using the DCI not including the ID of the bandwidth part B in the bandwidth part B.</w:t>
      </w:r>
    </w:p>
    <w:p w:rsidR="00815DCE" w:rsidRDefault="00815DCE">
      <w:pPr>
        <w:spacing w:line="360" w:lineRule="auto"/>
        <w:jc w:val="center"/>
      </w:pPr>
      <w:r>
        <w:object w:dxaOrig="11555" w:dyaOrig="6122">
          <v:shape id="_x0000_i1026" type="#_x0000_t75" style="width:263.8pt;height:123.05pt" o:ole="">
            <v:imagedata r:id="rId11" o:title=""/>
          </v:shape>
          <o:OLEObject Type="Embed" ProgID="Visio.Drawing.11" ShapeID="_x0000_i1026" DrawAspect="Content" ObjectID="_1563965771" r:id="rId12"/>
        </w:object>
      </w:r>
    </w:p>
    <w:p w:rsidR="00D47A48"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rPr>
          <w:rFonts w:ascii="Times New Roman" w:hAnsi="Times New Roman"/>
          <w:b/>
          <w:sz w:val="20"/>
          <w:szCs w:val="20"/>
        </w:rPr>
      </w:pPr>
      <w:r>
        <w:rPr>
          <w:rFonts w:ascii="Times New Roman" w:hAnsi="Times New Roman" w:hint="eastAsia"/>
          <w:b/>
          <w:sz w:val="20"/>
          <w:szCs w:val="20"/>
        </w:rPr>
        <w:t xml:space="preserve">Fig2. </w:t>
      </w:r>
      <w:r>
        <w:rPr>
          <w:rFonts w:ascii="Times New Roman" w:hAnsi="Times New Roman"/>
          <w:b/>
          <w:sz w:val="20"/>
          <w:szCs w:val="20"/>
        </w:rPr>
        <w:t>Mismatch</w:t>
      </w:r>
      <w:r>
        <w:rPr>
          <w:rFonts w:ascii="Times New Roman" w:hAnsi="Times New Roman" w:hint="eastAsia"/>
          <w:b/>
          <w:sz w:val="20"/>
          <w:szCs w:val="20"/>
        </w:rPr>
        <w:t>ed BWP between gNB and UE</w:t>
      </w:r>
    </w:p>
    <w:p w:rsidR="00020E47"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b/>
          <w:i/>
          <w:sz w:val="20"/>
          <w:szCs w:val="20"/>
        </w:rPr>
      </w:pPr>
      <w:r>
        <w:rPr>
          <w:rFonts w:ascii="Times New Roman" w:hAnsi="Times New Roman"/>
          <w:b/>
          <w:i/>
          <w:sz w:val="20"/>
          <w:szCs w:val="20"/>
        </w:rPr>
        <w:lastRenderedPageBreak/>
        <w:t xml:space="preserve">Observation </w:t>
      </w:r>
      <w:r>
        <w:rPr>
          <w:rFonts w:ascii="Times New Roman" w:hAnsi="Times New Roman" w:hint="eastAsia"/>
          <w:b/>
          <w:i/>
          <w:sz w:val="20"/>
          <w:szCs w:val="20"/>
        </w:rPr>
        <w:t xml:space="preserve">2: A </w:t>
      </w:r>
      <w:r>
        <w:rPr>
          <w:rFonts w:ascii="Times New Roman" w:hAnsi="Times New Roman"/>
          <w:b/>
          <w:i/>
          <w:sz w:val="20"/>
          <w:szCs w:val="20"/>
        </w:rPr>
        <w:t xml:space="preserve">redundant transmission </w:t>
      </w:r>
      <w:r>
        <w:rPr>
          <w:rFonts w:ascii="Times New Roman" w:hAnsi="Times New Roman" w:hint="eastAsia"/>
          <w:b/>
          <w:i/>
          <w:sz w:val="20"/>
          <w:szCs w:val="20"/>
        </w:rPr>
        <w:t xml:space="preserve">scheme can </w:t>
      </w:r>
      <w:r>
        <w:rPr>
          <w:rFonts w:ascii="Times New Roman" w:hAnsi="Times New Roman"/>
          <w:b/>
          <w:i/>
          <w:sz w:val="20"/>
          <w:szCs w:val="20"/>
        </w:rPr>
        <w:t>avoid</w:t>
      </w:r>
      <w:r>
        <w:rPr>
          <w:rFonts w:ascii="Times New Roman" w:hAnsi="Times New Roman" w:hint="eastAsia"/>
          <w:b/>
          <w:i/>
          <w:sz w:val="20"/>
          <w:szCs w:val="20"/>
        </w:rPr>
        <w:t xml:space="preserve"> that the gNB and the UE work in the different DL bandwidth part</w:t>
      </w:r>
      <w:r>
        <w:rPr>
          <w:rFonts w:ascii="Times New Roman" w:hAnsi="Times New Roman"/>
          <w:b/>
          <w:i/>
          <w:sz w:val="20"/>
          <w:szCs w:val="20"/>
        </w:rPr>
        <w:t>s</w:t>
      </w:r>
      <w:r>
        <w:rPr>
          <w:rFonts w:ascii="Times New Roman" w:hAnsi="Times New Roman" w:hint="eastAsia"/>
          <w:b/>
          <w:i/>
          <w:sz w:val="20"/>
          <w:szCs w:val="20"/>
        </w:rPr>
        <w:t xml:space="preserve"> </w:t>
      </w:r>
      <w:r>
        <w:rPr>
          <w:rFonts w:ascii="Times New Roman" w:hAnsi="Times New Roman"/>
          <w:b/>
          <w:i/>
          <w:sz w:val="20"/>
          <w:szCs w:val="20"/>
        </w:rPr>
        <w:t>due to missing</w:t>
      </w:r>
      <w:r>
        <w:rPr>
          <w:rFonts w:ascii="Times New Roman" w:hAnsi="Times New Roman" w:hint="eastAsia"/>
          <w:b/>
          <w:i/>
          <w:sz w:val="20"/>
          <w:szCs w:val="20"/>
        </w:rPr>
        <w:t xml:space="preserve"> </w:t>
      </w:r>
      <w:r>
        <w:rPr>
          <w:rFonts w:ascii="Times New Roman" w:hAnsi="Times New Roman"/>
          <w:b/>
          <w:i/>
          <w:sz w:val="20"/>
          <w:szCs w:val="20"/>
        </w:rPr>
        <w:t xml:space="preserve">of </w:t>
      </w:r>
      <w:r>
        <w:rPr>
          <w:rFonts w:ascii="Times New Roman" w:hAnsi="Times New Roman" w:hint="eastAsia"/>
          <w:b/>
          <w:i/>
          <w:sz w:val="20"/>
          <w:szCs w:val="20"/>
        </w:rPr>
        <w:t xml:space="preserve">switching </w:t>
      </w:r>
      <w:r>
        <w:rPr>
          <w:rFonts w:ascii="Times New Roman" w:hAnsi="Times New Roman"/>
          <w:b/>
          <w:i/>
          <w:sz w:val="20"/>
          <w:szCs w:val="20"/>
        </w:rPr>
        <w:t>DCI.</w:t>
      </w:r>
    </w:p>
    <w:p w:rsidR="00815DCE" w:rsidRDefault="00DA2A06">
      <w:pPr>
        <w:pStyle w:val="Heading2"/>
        <w:spacing w:line="360" w:lineRule="auto"/>
        <w:ind w:left="567"/>
        <w:jc w:val="both"/>
        <w:rPr>
          <w:rFonts w:ascii="Arial" w:hAnsi="Arial"/>
          <w:sz w:val="28"/>
          <w:szCs w:val="28"/>
        </w:rPr>
      </w:pPr>
      <w:r>
        <w:rPr>
          <w:rFonts w:ascii="Arial" w:hAnsi="Arial" w:hint="eastAsia"/>
          <w:sz w:val="28"/>
          <w:szCs w:val="28"/>
        </w:rPr>
        <w:t>RBG</w:t>
      </w:r>
    </w:p>
    <w:p w:rsidR="00020E47" w:rsidRDefault="00DA2A06">
      <w:pPr>
        <w:numPr>
          <w:ilvl w:val="255"/>
          <w:numId w:val="0"/>
        </w:numPr>
        <w:spacing w:after="0" w:line="360" w:lineRule="auto"/>
        <w:rPr>
          <w:rFonts w:ascii="Times New Roman" w:hAnsi="Times New Roman"/>
          <w:sz w:val="20"/>
          <w:szCs w:val="20"/>
        </w:rPr>
      </w:pPr>
      <w:r>
        <w:rPr>
          <w:rFonts w:ascii="Times New Roman" w:hAnsi="Times New Roman" w:hint="eastAsia"/>
          <w:sz w:val="20"/>
          <w:szCs w:val="20"/>
        </w:rPr>
        <w:t>According to last meeting</w:t>
      </w:r>
      <w:r>
        <w:rPr>
          <w:rFonts w:ascii="Times New Roman" w:hAnsi="Times New Roman"/>
          <w:sz w:val="20"/>
          <w:szCs w:val="20"/>
        </w:rPr>
        <w:t>’</w:t>
      </w:r>
      <w:r>
        <w:rPr>
          <w:rFonts w:ascii="Times New Roman" w:hAnsi="Times New Roman" w:hint="eastAsia"/>
          <w:sz w:val="20"/>
          <w:szCs w:val="20"/>
        </w:rPr>
        <w:t>s agre</w:t>
      </w:r>
      <w:r>
        <w:rPr>
          <w:rFonts w:ascii="Times New Roman" w:hAnsi="Times New Roman"/>
          <w:sz w:val="20"/>
          <w:szCs w:val="20"/>
        </w:rPr>
        <w:t>e</w:t>
      </w:r>
      <w:r>
        <w:rPr>
          <w:rFonts w:ascii="Times New Roman" w:hAnsi="Times New Roman" w:hint="eastAsia"/>
          <w:sz w:val="20"/>
          <w:szCs w:val="20"/>
        </w:rPr>
        <w:t>ments, five candidate RBG size</w:t>
      </w:r>
      <w:r w:rsidR="00D55EA1">
        <w:rPr>
          <w:rFonts w:ascii="Times New Roman" w:hAnsi="Times New Roman"/>
          <w:sz w:val="20"/>
          <w:szCs w:val="20"/>
        </w:rPr>
        <w:t>s</w:t>
      </w:r>
      <w:r>
        <w:rPr>
          <w:rFonts w:ascii="Times New Roman" w:hAnsi="Times New Roman" w:hint="eastAsia"/>
          <w:sz w:val="20"/>
          <w:szCs w:val="20"/>
        </w:rPr>
        <w:t xml:space="preserve"> and number determination options have been given</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W</w:t>
      </w:r>
      <w:r>
        <w:rPr>
          <w:rFonts w:ascii="Times New Roman" w:hAnsi="Times New Roman" w:hint="eastAsia"/>
          <w:sz w:val="20"/>
          <w:szCs w:val="20"/>
        </w:rPr>
        <w:t>e will give some discussion about these options.</w:t>
      </w:r>
    </w:p>
    <w:p w:rsidR="00815DCE" w:rsidRDefault="00DA2A06">
      <w:pPr>
        <w:numPr>
          <w:ilvl w:val="0"/>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FFS: If one or multiple of following option(s) is/are also used for RBG size/number determination:</w:t>
      </w:r>
    </w:p>
    <w:p w:rsidR="00815DCE" w:rsidRDefault="00DA2A06">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 xml:space="preserve">Opt. 1: Semi-statically configured size of Type0 RA bitmap. </w:t>
      </w:r>
    </w:p>
    <w:p w:rsidR="00815DCE" w:rsidRDefault="00DA2A06">
      <w:pPr>
        <w:numPr>
          <w:ilvl w:val="2"/>
          <w:numId w:val="6"/>
        </w:numPr>
        <w:tabs>
          <w:tab w:val="left" w:pos="2160"/>
        </w:tabs>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Number and size of RBGs for a RA is determined based on size of BWP and the size of the bitmap.</w:t>
      </w:r>
    </w:p>
    <w:p w:rsidR="00815DCE" w:rsidRDefault="00DA2A06">
      <w:pPr>
        <w:numPr>
          <w:ilvl w:val="1"/>
          <w:numId w:val="6"/>
        </w:numPr>
        <w:spacing w:after="0" w:line="360" w:lineRule="auto"/>
        <w:rPr>
          <w:rFonts w:ascii="Times New Roman" w:eastAsia="游明朝" w:hAnsi="Times New Roman"/>
          <w:iCs/>
          <w:sz w:val="20"/>
          <w:szCs w:val="20"/>
          <w:lang w:eastAsia="ja-JP"/>
        </w:rPr>
      </w:pPr>
      <w:bookmarkStart w:id="5" w:name="OLE_LINK4"/>
      <w:r>
        <w:rPr>
          <w:rFonts w:ascii="Times New Roman" w:eastAsia="游明朝" w:hAnsi="Times New Roman"/>
          <w:iCs/>
          <w:sz w:val="20"/>
          <w:szCs w:val="20"/>
          <w:lang w:eastAsia="ja-JP"/>
        </w:rPr>
        <w:t>Opt. 2: Semi-statically configured RBG size(s) per BWP for deriving number of RBGs.</w:t>
      </w:r>
    </w:p>
    <w:bookmarkEnd w:id="5"/>
    <w:p w:rsidR="00815DCE" w:rsidRDefault="00DA2A06">
      <w:pPr>
        <w:numPr>
          <w:ilvl w:val="2"/>
          <w:numId w:val="6"/>
        </w:numPr>
        <w:tabs>
          <w:tab w:val="left" w:pos="2160"/>
        </w:tabs>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 xml:space="preserve">Number of RBGs in the BWP is determined by size of the BWP and the configured/indicated RBG size(s). </w:t>
      </w:r>
    </w:p>
    <w:p w:rsidR="00815DCE" w:rsidRDefault="00DA2A06">
      <w:pPr>
        <w:numPr>
          <w:ilvl w:val="2"/>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 xml:space="preserve">FFS: Dynamic switching of RBG size(s). </w:t>
      </w:r>
    </w:p>
    <w:p w:rsidR="00815DCE" w:rsidRDefault="00DA2A06">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Opt. 3: DCI format/DCI format size (e.g. a compact DCI may be with a larger RBG size than a normal DCI).</w:t>
      </w:r>
    </w:p>
    <w:p w:rsidR="00815DCE" w:rsidRDefault="00DA2A06">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Opt. 4: Transmission durations (e.g. a shorter-duration transmission may be with a larger RBG size than a longer one).</w:t>
      </w:r>
    </w:p>
    <w:p w:rsidR="00815DCE" w:rsidRDefault="00DA2A06">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 xml:space="preserve">Opt. 5: RBG size is determined depending on </w:t>
      </w:r>
      <w:bookmarkStart w:id="6" w:name="OLE_LINK3"/>
      <w:r>
        <w:rPr>
          <w:rFonts w:ascii="Times New Roman" w:eastAsia="游明朝" w:hAnsi="Times New Roman"/>
          <w:iCs/>
          <w:sz w:val="20"/>
          <w:szCs w:val="20"/>
          <w:lang w:eastAsia="ja-JP"/>
        </w:rPr>
        <w:t>the size of the BWP</w:t>
      </w:r>
      <w:bookmarkEnd w:id="6"/>
      <w:r>
        <w:rPr>
          <w:rFonts w:ascii="Times New Roman" w:eastAsia="游明朝" w:hAnsi="Times New Roman"/>
          <w:iCs/>
          <w:sz w:val="20"/>
          <w:szCs w:val="20"/>
          <w:lang w:eastAsia="ja-JP"/>
        </w:rPr>
        <w:t>.</w:t>
      </w:r>
    </w:p>
    <w:p w:rsidR="00815DCE" w:rsidRDefault="00DA2A06">
      <w:pPr>
        <w:numPr>
          <w:ilvl w:val="1"/>
          <w:numId w:val="6"/>
        </w:numPr>
        <w:spacing w:after="0" w:line="360" w:lineRule="auto"/>
        <w:rPr>
          <w:rFonts w:ascii="Times New Roman" w:eastAsia="游明朝" w:hAnsi="Times New Roman"/>
          <w:iCs/>
          <w:sz w:val="20"/>
          <w:szCs w:val="20"/>
          <w:lang w:eastAsia="ja-JP"/>
        </w:rPr>
      </w:pPr>
      <w:r>
        <w:rPr>
          <w:rFonts w:ascii="Times New Roman" w:eastAsia="游明朝" w:hAnsi="Times New Roman"/>
          <w:iCs/>
          <w:sz w:val="20"/>
          <w:szCs w:val="20"/>
          <w:lang w:eastAsia="ja-JP"/>
        </w:rPr>
        <w:t>Other options are not precluded.</w:t>
      </w:r>
    </w:p>
    <w:p w:rsidR="005301C7" w:rsidRDefault="005301C7">
      <w:pPr>
        <w:numPr>
          <w:ilvl w:val="255"/>
          <w:numId w:val="0"/>
        </w:numPr>
        <w:spacing w:after="0" w:line="360" w:lineRule="auto"/>
        <w:rPr>
          <w:rFonts w:ascii="Times New Roman" w:hAnsi="Times New Roman"/>
          <w:sz w:val="20"/>
          <w:szCs w:val="20"/>
        </w:rPr>
      </w:pPr>
    </w:p>
    <w:p w:rsidR="008C449C" w:rsidRDefault="00676E97">
      <w:pPr>
        <w:numPr>
          <w:ilvl w:val="255"/>
          <w:numId w:val="0"/>
        </w:numPr>
        <w:spacing w:after="0" w:line="360" w:lineRule="auto"/>
        <w:rPr>
          <w:rFonts w:ascii="Times New Roman" w:hAnsi="Times New Roman"/>
          <w:sz w:val="20"/>
          <w:szCs w:val="20"/>
        </w:rPr>
      </w:pPr>
      <w:r w:rsidRPr="00676E97">
        <w:rPr>
          <w:rFonts w:ascii="Times New Roman" w:hAnsi="Times New Roman"/>
          <w:sz w:val="20"/>
          <w:szCs w:val="20"/>
        </w:rPr>
        <w:t xml:space="preserve">For Opt.1 and 2, </w:t>
      </w:r>
      <w:r w:rsidR="00D55EA1">
        <w:rPr>
          <w:rFonts w:ascii="Times New Roman" w:hAnsi="Times New Roman"/>
          <w:sz w:val="20"/>
          <w:szCs w:val="20"/>
        </w:rPr>
        <w:t xml:space="preserve">the </w:t>
      </w:r>
      <w:r w:rsidRPr="00676E97">
        <w:rPr>
          <w:rFonts w:ascii="Times New Roman" w:hAnsi="Times New Roman"/>
          <w:sz w:val="20"/>
          <w:szCs w:val="20"/>
        </w:rPr>
        <w:t xml:space="preserve">RBG size and number can be semi-statically configured, and can be determined by </w:t>
      </w:r>
      <w:r w:rsidR="00D55EA1">
        <w:rPr>
          <w:rFonts w:ascii="Times New Roman" w:hAnsi="Times New Roman"/>
          <w:sz w:val="20"/>
          <w:szCs w:val="20"/>
        </w:rPr>
        <w:t xml:space="preserve">the </w:t>
      </w:r>
      <w:r w:rsidRPr="00676E97">
        <w:rPr>
          <w:rFonts w:ascii="Times New Roman" w:hAnsi="Times New Roman"/>
          <w:sz w:val="20"/>
          <w:szCs w:val="20"/>
        </w:rPr>
        <w:t xml:space="preserve">size of the BWP, but for Opt. 1, a new consideration was introduced, i.e. Type0 RA bitmap, so there are two factors to affect the RBG size and number, for Type0 RA, a one-to-one correspondence between bitmap and RBGs was applied, so the relationship between the size of RA bitmap and the RBG number is obvious, however, compared with Opt.2, Opt.1 is too limited, only one fixed value for </w:t>
      </w:r>
      <w:r w:rsidR="005301C7">
        <w:rPr>
          <w:rFonts w:ascii="Times New Roman" w:hAnsi="Times New Roman"/>
          <w:sz w:val="20"/>
          <w:szCs w:val="20"/>
        </w:rPr>
        <w:t xml:space="preserve">the </w:t>
      </w:r>
      <w:r w:rsidRPr="00676E97">
        <w:rPr>
          <w:rFonts w:ascii="Times New Roman" w:hAnsi="Times New Roman"/>
          <w:sz w:val="20"/>
          <w:szCs w:val="20"/>
        </w:rPr>
        <w:t>RA bitmap can be configured once, which means the number and size of RBG</w:t>
      </w:r>
      <w:r w:rsidR="005301C7">
        <w:rPr>
          <w:rFonts w:ascii="Times New Roman" w:hAnsi="Times New Roman"/>
          <w:sz w:val="20"/>
          <w:szCs w:val="20"/>
        </w:rPr>
        <w:t>s</w:t>
      </w:r>
      <w:r w:rsidRPr="00676E97">
        <w:rPr>
          <w:rFonts w:ascii="Times New Roman" w:hAnsi="Times New Roman"/>
          <w:sz w:val="20"/>
          <w:szCs w:val="20"/>
        </w:rPr>
        <w:t xml:space="preserve"> can’t</w:t>
      </w:r>
      <w:r w:rsidR="005301C7">
        <w:rPr>
          <w:rFonts w:ascii="Times New Roman" w:hAnsi="Times New Roman"/>
          <w:sz w:val="20"/>
          <w:szCs w:val="20"/>
        </w:rPr>
        <w:t xml:space="preserve"> change during the semi-static</w:t>
      </w:r>
      <w:r w:rsidRPr="00676E97">
        <w:rPr>
          <w:rFonts w:ascii="Times New Roman" w:hAnsi="Times New Roman"/>
          <w:sz w:val="20"/>
          <w:szCs w:val="20"/>
        </w:rPr>
        <w:t xml:space="preserve"> cycle, but for Opt2, one or multiple RBG size values can be configured once, so better flexibility can be achieved</w:t>
      </w:r>
      <w:r w:rsidR="00D55EA1">
        <w:rPr>
          <w:rFonts w:ascii="Times New Roman" w:hAnsi="Times New Roman"/>
          <w:sz w:val="20"/>
          <w:szCs w:val="20"/>
        </w:rPr>
        <w:t>.</w:t>
      </w:r>
      <w:r w:rsidRPr="00676E97">
        <w:rPr>
          <w:rFonts w:ascii="Times New Roman" w:hAnsi="Times New Roman"/>
          <w:sz w:val="20"/>
          <w:szCs w:val="20"/>
        </w:rPr>
        <w:t xml:space="preserve"> so </w:t>
      </w:r>
      <w:r w:rsidR="00D55EA1">
        <w:rPr>
          <w:rFonts w:ascii="Times New Roman" w:hAnsi="Times New Roman"/>
          <w:sz w:val="20"/>
          <w:szCs w:val="20"/>
        </w:rPr>
        <w:t>B</w:t>
      </w:r>
      <w:r w:rsidRPr="00676E97">
        <w:rPr>
          <w:rFonts w:ascii="Times New Roman" w:hAnsi="Times New Roman"/>
          <w:sz w:val="20"/>
          <w:szCs w:val="20"/>
        </w:rPr>
        <w:t>oth as semi-statically configuration methods, Opt2 is better than Opt1.</w:t>
      </w:r>
    </w:p>
    <w:p w:rsidR="008C449C" w:rsidRDefault="00DA2A06">
      <w:pPr>
        <w:numPr>
          <w:ilvl w:val="255"/>
          <w:numId w:val="0"/>
        </w:numPr>
        <w:spacing w:after="0" w:line="360" w:lineRule="auto"/>
        <w:rPr>
          <w:rFonts w:ascii="Times New Roman" w:hAnsi="Times New Roman"/>
          <w:sz w:val="20"/>
          <w:szCs w:val="20"/>
        </w:rPr>
      </w:pPr>
      <w:r>
        <w:rPr>
          <w:rFonts w:ascii="Times New Roman" w:hAnsi="Times New Roman" w:hint="eastAsia"/>
          <w:sz w:val="20"/>
          <w:szCs w:val="20"/>
        </w:rPr>
        <w:t xml:space="preserve">For Opt. 3 and 4, RBG size and number may be dynamically changed, according to </w:t>
      </w:r>
      <w:r w:rsidR="00D55EA1">
        <w:rPr>
          <w:rFonts w:ascii="Times New Roman" w:hAnsi="Times New Roman"/>
          <w:sz w:val="20"/>
          <w:szCs w:val="20"/>
        </w:rPr>
        <w:t xml:space="preserve">the </w:t>
      </w:r>
      <w:r>
        <w:rPr>
          <w:rFonts w:ascii="Times New Roman" w:hAnsi="Times New Roman" w:hint="eastAsia"/>
          <w:sz w:val="20"/>
          <w:szCs w:val="20"/>
        </w:rPr>
        <w:t xml:space="preserve">DCI format or </w:t>
      </w:r>
      <w:r w:rsidR="00D55EA1">
        <w:rPr>
          <w:rFonts w:ascii="Times New Roman" w:hAnsi="Times New Roman"/>
          <w:sz w:val="20"/>
          <w:szCs w:val="20"/>
        </w:rPr>
        <w:t xml:space="preserve">the </w:t>
      </w:r>
      <w:r>
        <w:rPr>
          <w:rFonts w:ascii="Times New Roman" w:hAnsi="Times New Roman" w:hint="eastAsia"/>
          <w:sz w:val="20"/>
          <w:szCs w:val="20"/>
        </w:rPr>
        <w:t>Transmission duration</w:t>
      </w:r>
      <w:r w:rsidR="00D55EA1">
        <w:rPr>
          <w:rFonts w:ascii="Times New Roman" w:hAnsi="Times New Roman"/>
          <w:sz w:val="20"/>
          <w:szCs w:val="20"/>
        </w:rPr>
        <w:t>.</w:t>
      </w:r>
      <w:r w:rsidR="000E60F1">
        <w:rPr>
          <w:rFonts w:ascii="Times New Roman" w:hAnsi="Times New Roman" w:hint="eastAsia"/>
          <w:sz w:val="20"/>
          <w:szCs w:val="20"/>
        </w:rPr>
        <w:t xml:space="preserve"> </w:t>
      </w:r>
      <w:r w:rsidR="00D55EA1">
        <w:rPr>
          <w:rFonts w:ascii="Times New Roman" w:hAnsi="Times New Roman"/>
          <w:sz w:val="20"/>
          <w:szCs w:val="20"/>
        </w:rPr>
        <w:t>T</w:t>
      </w:r>
      <w:r>
        <w:rPr>
          <w:rFonts w:ascii="Times New Roman" w:hAnsi="Times New Roman" w:hint="eastAsia"/>
          <w:sz w:val="20"/>
          <w:szCs w:val="20"/>
        </w:rPr>
        <w:t xml:space="preserve">he two </w:t>
      </w:r>
      <w:r w:rsidR="00C023E7">
        <w:rPr>
          <w:rFonts w:ascii="Times New Roman" w:hAnsi="Times New Roman" w:hint="eastAsia"/>
          <w:sz w:val="20"/>
          <w:szCs w:val="20"/>
        </w:rPr>
        <w:t>o</w:t>
      </w:r>
      <w:r>
        <w:rPr>
          <w:rFonts w:ascii="Times New Roman" w:hAnsi="Times New Roman" w:hint="eastAsia"/>
          <w:sz w:val="20"/>
          <w:szCs w:val="20"/>
        </w:rPr>
        <w:t xml:space="preserve">ptions are both flexible, but the need to change </w:t>
      </w:r>
      <w:r w:rsidR="00D55EA1">
        <w:rPr>
          <w:rFonts w:ascii="Times New Roman" w:hAnsi="Times New Roman"/>
          <w:sz w:val="20"/>
          <w:szCs w:val="20"/>
        </w:rPr>
        <w:t xml:space="preserve">the </w:t>
      </w:r>
      <w:r>
        <w:rPr>
          <w:rFonts w:ascii="Times New Roman" w:hAnsi="Times New Roman" w:hint="eastAsia"/>
          <w:sz w:val="20"/>
          <w:szCs w:val="20"/>
        </w:rPr>
        <w:t>RBG size and number dynamic</w:t>
      </w:r>
      <w:r w:rsidR="00D55EA1">
        <w:rPr>
          <w:rFonts w:ascii="Times New Roman" w:hAnsi="Times New Roman"/>
          <w:sz w:val="20"/>
          <w:szCs w:val="20"/>
        </w:rPr>
        <w:t>al</w:t>
      </w:r>
      <w:r>
        <w:rPr>
          <w:rFonts w:ascii="Times New Roman" w:hAnsi="Times New Roman" w:hint="eastAsia"/>
          <w:sz w:val="20"/>
          <w:szCs w:val="20"/>
        </w:rPr>
        <w:t xml:space="preserve"> should be studied further</w:t>
      </w:r>
      <w:r w:rsidR="00C023E7">
        <w:rPr>
          <w:rFonts w:ascii="Times New Roman" w:hAnsi="Times New Roman" w:hint="eastAsia"/>
          <w:sz w:val="20"/>
          <w:szCs w:val="20"/>
        </w:rPr>
        <w:t>.</w:t>
      </w:r>
      <w:r>
        <w:rPr>
          <w:rFonts w:ascii="Times New Roman" w:hAnsi="Times New Roman" w:hint="eastAsia"/>
          <w:sz w:val="20"/>
          <w:szCs w:val="20"/>
        </w:rPr>
        <w:t xml:space="preserve"> </w:t>
      </w:r>
      <w:r w:rsidR="00C023E7">
        <w:rPr>
          <w:rFonts w:ascii="Times New Roman" w:hAnsi="Times New Roman" w:hint="eastAsia"/>
          <w:sz w:val="20"/>
          <w:szCs w:val="20"/>
        </w:rPr>
        <w:t>A</w:t>
      </w:r>
      <w:r>
        <w:rPr>
          <w:rFonts w:ascii="Times New Roman" w:hAnsi="Times New Roman" w:hint="eastAsia"/>
          <w:sz w:val="20"/>
          <w:szCs w:val="20"/>
        </w:rPr>
        <w:t>nother question</w:t>
      </w:r>
      <w:r w:rsidR="00C023E7">
        <w:rPr>
          <w:rFonts w:ascii="Times New Roman" w:hAnsi="Times New Roman" w:hint="eastAsia"/>
          <w:sz w:val="20"/>
          <w:szCs w:val="20"/>
        </w:rPr>
        <w:t>,</w:t>
      </w:r>
      <w:r>
        <w:rPr>
          <w:rFonts w:ascii="Times New Roman" w:hAnsi="Times New Roman" w:hint="eastAsia"/>
          <w:sz w:val="20"/>
          <w:szCs w:val="20"/>
        </w:rPr>
        <w:t xml:space="preserve"> </w:t>
      </w:r>
      <w:r w:rsidR="00C023E7">
        <w:rPr>
          <w:rFonts w:ascii="Times New Roman" w:hAnsi="Times New Roman" w:hint="eastAsia"/>
          <w:sz w:val="20"/>
          <w:szCs w:val="20"/>
        </w:rPr>
        <w:t>f</w:t>
      </w:r>
      <w:r>
        <w:rPr>
          <w:rFonts w:ascii="Times New Roman" w:hAnsi="Times New Roman" w:hint="eastAsia"/>
          <w:sz w:val="20"/>
          <w:szCs w:val="20"/>
        </w:rPr>
        <w:t>or Opt.3, considering the detailed DCI formats design was not determined, so there may be multiple reasons to determine which DCI format should be chose</w:t>
      </w:r>
      <w:r w:rsidR="000606C9">
        <w:rPr>
          <w:rFonts w:ascii="Times New Roman" w:hAnsi="Times New Roman" w:hint="eastAsia"/>
          <w:sz w:val="20"/>
          <w:szCs w:val="20"/>
        </w:rPr>
        <w:t>n</w:t>
      </w:r>
      <w:r>
        <w:rPr>
          <w:rFonts w:ascii="Times New Roman" w:hAnsi="Times New Roman" w:hint="eastAsia"/>
          <w:sz w:val="20"/>
          <w:szCs w:val="20"/>
        </w:rPr>
        <w:t xml:space="preserve">, compact DCI or short DCI format size </w:t>
      </w:r>
      <w:r w:rsidR="005301C7">
        <w:rPr>
          <w:rFonts w:ascii="Times New Roman" w:hAnsi="Times New Roman"/>
          <w:sz w:val="20"/>
          <w:szCs w:val="20"/>
        </w:rPr>
        <w:t>doesn’t</w:t>
      </w:r>
      <w:r>
        <w:rPr>
          <w:rFonts w:ascii="Times New Roman" w:hAnsi="Times New Roman" w:hint="eastAsia"/>
          <w:sz w:val="20"/>
          <w:szCs w:val="20"/>
        </w:rPr>
        <w:t xml:space="preserve"> mean coarse granularity scheduling absolutely. For Opt. 4, how to determine the </w:t>
      </w:r>
      <w:r w:rsidR="00DE5A59" w:rsidRPr="00DE5A59">
        <w:rPr>
          <w:rFonts w:ascii="Times New Roman" w:hAnsi="Times New Roman"/>
          <w:sz w:val="20"/>
          <w:szCs w:val="20"/>
        </w:rPr>
        <w:t>bundling</w:t>
      </w:r>
      <w:r w:rsidR="00DE5A59" w:rsidRPr="00DE5A59" w:rsidDel="00DE5A59">
        <w:rPr>
          <w:rFonts w:ascii="Times New Roman" w:hAnsi="Times New Roman" w:hint="eastAsia"/>
          <w:sz w:val="20"/>
          <w:szCs w:val="20"/>
        </w:rPr>
        <w:t xml:space="preserve"> </w:t>
      </w:r>
      <w:r>
        <w:rPr>
          <w:rFonts w:ascii="Times New Roman" w:hAnsi="Times New Roman" w:hint="eastAsia"/>
          <w:sz w:val="20"/>
          <w:szCs w:val="20"/>
        </w:rPr>
        <w:t xml:space="preserve">between </w:t>
      </w:r>
      <w:r w:rsidR="00DE5A59">
        <w:rPr>
          <w:rFonts w:ascii="Times New Roman" w:hAnsi="Times New Roman" w:hint="eastAsia"/>
          <w:sz w:val="20"/>
          <w:szCs w:val="20"/>
        </w:rPr>
        <w:t>t</w:t>
      </w:r>
      <w:r>
        <w:rPr>
          <w:rFonts w:ascii="Times New Roman" w:hAnsi="Times New Roman" w:hint="eastAsia"/>
          <w:sz w:val="20"/>
          <w:szCs w:val="20"/>
        </w:rPr>
        <w:t>ransmission duration and RBG size is still indistinct.</w:t>
      </w:r>
    </w:p>
    <w:p w:rsidR="00020E47" w:rsidRDefault="00DA2A06">
      <w:pPr>
        <w:spacing w:after="0" w:line="360" w:lineRule="auto"/>
        <w:rPr>
          <w:rFonts w:ascii="Times New Roman" w:hAnsi="Times New Roman"/>
          <w:sz w:val="20"/>
          <w:szCs w:val="20"/>
        </w:rPr>
      </w:pPr>
      <w:r>
        <w:rPr>
          <w:rFonts w:ascii="Times New Roman" w:hAnsi="Times New Roman" w:hint="eastAsia"/>
          <w:sz w:val="20"/>
          <w:szCs w:val="20"/>
        </w:rPr>
        <w:lastRenderedPageBreak/>
        <w:t xml:space="preserve">For Opt. 5, </w:t>
      </w:r>
      <w:r w:rsidR="00D55EA1">
        <w:rPr>
          <w:rFonts w:ascii="Times New Roman" w:hAnsi="Times New Roman"/>
          <w:sz w:val="20"/>
          <w:szCs w:val="20"/>
        </w:rPr>
        <w:t xml:space="preserve">the </w:t>
      </w:r>
      <w:r>
        <w:rPr>
          <w:rFonts w:ascii="Times New Roman" w:hAnsi="Times New Roman" w:hint="eastAsia"/>
          <w:sz w:val="20"/>
          <w:szCs w:val="20"/>
        </w:rPr>
        <w:t xml:space="preserve">RBG size is determined by </w:t>
      </w:r>
      <w:r>
        <w:rPr>
          <w:rFonts w:ascii="Times New Roman" w:eastAsia="游明朝" w:hAnsi="Times New Roman"/>
          <w:iCs/>
          <w:sz w:val="20"/>
          <w:szCs w:val="20"/>
          <w:lang w:eastAsia="ja-JP"/>
        </w:rPr>
        <w:t>the size of the BWP</w:t>
      </w:r>
      <w:r>
        <w:rPr>
          <w:rFonts w:ascii="Times New Roman" w:hAnsi="Times New Roman" w:hint="eastAsia"/>
          <w:sz w:val="20"/>
          <w:szCs w:val="20"/>
        </w:rPr>
        <w:t xml:space="preserve">, only considering the size of BWP, which maybe not enough,  because without </w:t>
      </w:r>
      <w:r>
        <w:rPr>
          <w:rFonts w:ascii="Times New Roman" w:hAnsi="Times New Roman"/>
          <w:sz w:val="20"/>
          <w:szCs w:val="20"/>
        </w:rPr>
        <w:t>consider</w:t>
      </w:r>
      <w:r>
        <w:rPr>
          <w:rFonts w:ascii="Times New Roman" w:hAnsi="Times New Roman" w:hint="eastAsia"/>
          <w:sz w:val="20"/>
          <w:szCs w:val="20"/>
        </w:rPr>
        <w:t>ing the</w:t>
      </w:r>
      <w:r>
        <w:rPr>
          <w:rFonts w:ascii="Times New Roman" w:hAnsi="Times New Roman"/>
          <w:sz w:val="20"/>
          <w:szCs w:val="20"/>
        </w:rPr>
        <w:t xml:space="preserve"> </w:t>
      </w:r>
      <w:r>
        <w:rPr>
          <w:rFonts w:ascii="Times New Roman" w:hAnsi="Times New Roman" w:hint="eastAsia"/>
          <w:sz w:val="20"/>
          <w:szCs w:val="20"/>
        </w:rPr>
        <w:t>numerology configuration for the BWP</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E</w:t>
      </w:r>
      <w:r>
        <w:rPr>
          <w:rFonts w:ascii="Times New Roman" w:hAnsi="Times New Roman" w:hint="eastAsia"/>
          <w:sz w:val="20"/>
          <w:szCs w:val="20"/>
        </w:rPr>
        <w:t xml:space="preserve">ven for the same size of </w:t>
      </w:r>
      <w:r w:rsidR="000E60F1">
        <w:rPr>
          <w:rFonts w:ascii="Times New Roman" w:hAnsi="Times New Roman" w:hint="eastAsia"/>
          <w:sz w:val="20"/>
          <w:szCs w:val="20"/>
        </w:rPr>
        <w:t>BWP</w:t>
      </w:r>
      <w:r>
        <w:rPr>
          <w:rFonts w:ascii="Times New Roman" w:hAnsi="Times New Roman" w:hint="eastAsia"/>
          <w:sz w:val="20"/>
          <w:szCs w:val="20"/>
        </w:rPr>
        <w:t xml:space="preserve">, different numerology means different </w:t>
      </w:r>
      <w:r>
        <w:rPr>
          <w:rFonts w:ascii="Times New Roman" w:hAnsi="Times New Roman"/>
          <w:sz w:val="20"/>
          <w:szCs w:val="20"/>
        </w:rPr>
        <w:t xml:space="preserve">number of </w:t>
      </w:r>
      <w:r>
        <w:rPr>
          <w:rFonts w:ascii="Times New Roman" w:hAnsi="Times New Roman" w:hint="eastAsia"/>
          <w:sz w:val="20"/>
          <w:szCs w:val="20"/>
        </w:rPr>
        <w:t>PRB</w:t>
      </w:r>
      <w:r>
        <w:rPr>
          <w:rFonts w:ascii="Times New Roman" w:hAnsi="Times New Roman"/>
          <w:sz w:val="20"/>
          <w:szCs w:val="20"/>
        </w:rPr>
        <w:t>s</w:t>
      </w:r>
      <w:r>
        <w:rPr>
          <w:rFonts w:ascii="Times New Roman" w:hAnsi="Times New Roman" w:hint="eastAsia"/>
          <w:sz w:val="20"/>
          <w:szCs w:val="20"/>
        </w:rPr>
        <w:t xml:space="preserve">, without any configurability, this </w:t>
      </w:r>
      <w:r w:rsidR="00D55EA1">
        <w:rPr>
          <w:rFonts w:ascii="Times New Roman" w:hAnsi="Times New Roman"/>
          <w:sz w:val="20"/>
          <w:szCs w:val="20"/>
        </w:rPr>
        <w:t>option</w:t>
      </w:r>
      <w:r w:rsidR="00D55EA1">
        <w:rPr>
          <w:rFonts w:ascii="Times New Roman" w:hAnsi="Times New Roman" w:hint="eastAsia"/>
          <w:sz w:val="20"/>
          <w:szCs w:val="20"/>
        </w:rPr>
        <w:t xml:space="preserve"> </w:t>
      </w:r>
      <w:r>
        <w:rPr>
          <w:rFonts w:ascii="Times New Roman" w:hAnsi="Times New Roman" w:hint="eastAsia"/>
          <w:sz w:val="20"/>
          <w:szCs w:val="20"/>
        </w:rPr>
        <w:t>is too rigid.</w:t>
      </w:r>
    </w:p>
    <w:p w:rsidR="00020E47" w:rsidRDefault="00DA2A06">
      <w:pPr>
        <w:numPr>
          <w:ilvl w:val="255"/>
          <w:numId w:val="0"/>
        </w:numPr>
        <w:spacing w:after="0" w:line="360" w:lineRule="auto"/>
        <w:rPr>
          <w:rFonts w:ascii="Times New Roman" w:hAnsi="Times New Roman"/>
          <w:b/>
          <w:i/>
          <w:sz w:val="20"/>
          <w:szCs w:val="20"/>
        </w:rPr>
      </w:pPr>
      <w:r>
        <w:rPr>
          <w:rFonts w:ascii="Times New Roman" w:hAnsi="Times New Roman" w:hint="eastAsia"/>
          <w:b/>
          <w:i/>
          <w:sz w:val="20"/>
          <w:szCs w:val="20"/>
        </w:rPr>
        <w:t xml:space="preserve">Proposal 4:  </w:t>
      </w:r>
      <w:r w:rsidR="00915615" w:rsidRPr="00915615">
        <w:rPr>
          <w:rFonts w:ascii="Times New Roman" w:hAnsi="Times New Roman"/>
          <w:b/>
          <w:i/>
          <w:sz w:val="20"/>
          <w:szCs w:val="20"/>
        </w:rPr>
        <w:t>Semi-statically configured RBG size(s) per BWP for deriving number of RBGs.</w:t>
      </w:r>
    </w:p>
    <w:p w:rsidR="00020E47" w:rsidRDefault="00DA2A06" w:rsidP="005301C7">
      <w:pPr>
        <w:pStyle w:val="Heading1"/>
        <w:spacing w:beforeLines="50" w:afterLines="50" w:line="360" w:lineRule="auto"/>
        <w:ind w:left="431" w:hanging="431"/>
        <w:rPr>
          <w:sz w:val="32"/>
          <w:szCs w:val="32"/>
          <w:lang w:val="en-US"/>
        </w:rPr>
      </w:pPr>
      <w:r>
        <w:rPr>
          <w:sz w:val="32"/>
          <w:szCs w:val="32"/>
          <w:lang w:val="en-US"/>
        </w:rPr>
        <w:t>Conclusions</w:t>
      </w:r>
    </w:p>
    <w:p w:rsidR="00020E47" w:rsidRDefault="00DA2A06"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sz w:val="20"/>
          <w:szCs w:val="20"/>
        </w:rPr>
        <w:t xml:space="preserve">Based on the discussion above, we have the following </w:t>
      </w:r>
      <w:r>
        <w:rPr>
          <w:rFonts w:ascii="Times New Roman" w:hAnsi="Times New Roman" w:hint="eastAsia"/>
          <w:sz w:val="20"/>
          <w:szCs w:val="20"/>
        </w:rPr>
        <w:t xml:space="preserve">observations and </w:t>
      </w:r>
      <w:r>
        <w:rPr>
          <w:rFonts w:ascii="Times New Roman" w:hAnsi="Times New Roman"/>
          <w:sz w:val="20"/>
          <w:szCs w:val="20"/>
        </w:rPr>
        <w:t xml:space="preserve">proposals: </w:t>
      </w:r>
    </w:p>
    <w:p w:rsidR="000E60F1" w:rsidRDefault="000E60F1"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hint="eastAsia"/>
          <w:b/>
          <w:i/>
          <w:sz w:val="20"/>
          <w:szCs w:val="20"/>
        </w:rPr>
        <w:t>: B</w:t>
      </w:r>
      <w:r>
        <w:rPr>
          <w:rFonts w:ascii="Times New Roman" w:hAnsi="Times New Roman"/>
          <w:b/>
          <w:i/>
          <w:sz w:val="20"/>
          <w:szCs w:val="20"/>
        </w:rPr>
        <w:t>oundary</w:t>
      </w:r>
      <w:r>
        <w:rPr>
          <w:rFonts w:ascii="Times New Roman" w:hAnsi="Times New Roman" w:hint="eastAsia"/>
          <w:b/>
          <w:i/>
          <w:sz w:val="20"/>
          <w:szCs w:val="20"/>
        </w:rPr>
        <w:t xml:space="preserve"> of</w:t>
      </w:r>
      <w:r>
        <w:rPr>
          <w:rFonts w:ascii="Times New Roman" w:hAnsi="Times New Roman"/>
          <w:b/>
          <w:i/>
          <w:sz w:val="20"/>
          <w:szCs w:val="20"/>
        </w:rPr>
        <w:t xml:space="preserve"> any</w:t>
      </w:r>
      <w:r>
        <w:rPr>
          <w:rFonts w:ascii="Times New Roman" w:hAnsi="Times New Roman" w:hint="eastAsia"/>
          <w:b/>
          <w:i/>
          <w:sz w:val="20"/>
          <w:szCs w:val="20"/>
        </w:rPr>
        <w:t xml:space="preserve"> </w:t>
      </w:r>
      <w:r>
        <w:rPr>
          <w:rFonts w:ascii="Times New Roman" w:eastAsia="MS Mincho" w:hAnsi="Times New Roman"/>
          <w:b/>
          <w:i/>
          <w:sz w:val="20"/>
          <w:szCs w:val="20"/>
          <w:lang w:eastAsia="ja-JP"/>
        </w:rPr>
        <w:t>bandwidth part</w:t>
      </w:r>
      <w:r>
        <w:rPr>
          <w:rFonts w:ascii="Times New Roman" w:hAnsi="Times New Roman" w:hint="eastAsia"/>
          <w:b/>
          <w:i/>
          <w:sz w:val="20"/>
          <w:szCs w:val="20"/>
        </w:rPr>
        <w:t xml:space="preserve"> should be aligned with </w:t>
      </w:r>
      <w:r>
        <w:rPr>
          <w:rFonts w:ascii="Times New Roman" w:hAnsi="Times New Roman"/>
          <w:b/>
          <w:i/>
          <w:sz w:val="20"/>
          <w:szCs w:val="20"/>
        </w:rPr>
        <w:t>boundary</w:t>
      </w:r>
      <w:r>
        <w:rPr>
          <w:rFonts w:ascii="Times New Roman" w:hAnsi="Times New Roman" w:hint="eastAsia"/>
          <w:b/>
          <w:i/>
          <w:sz w:val="20"/>
          <w:szCs w:val="20"/>
        </w:rPr>
        <w:t xml:space="preserve"> of PRB corresponding to </w:t>
      </w:r>
      <w:r>
        <w:rPr>
          <w:rFonts w:ascii="Times New Roman" w:hAnsi="Times New Roman"/>
          <w:b/>
          <w:i/>
          <w:sz w:val="20"/>
          <w:szCs w:val="20"/>
        </w:rPr>
        <w:t>maximum</w:t>
      </w:r>
      <w:r>
        <w:rPr>
          <w:rFonts w:ascii="Times New Roman" w:hAnsi="Times New Roman" w:hint="eastAsia"/>
          <w:b/>
          <w:i/>
          <w:sz w:val="20"/>
          <w:szCs w:val="20"/>
        </w:rPr>
        <w:t xml:space="preserve"> SCS within a wideband NR carrier</w:t>
      </w:r>
      <w:r>
        <w:rPr>
          <w:rFonts w:ascii="Times New Roman" w:hAnsi="Times New Roman"/>
          <w:b/>
          <w:i/>
          <w:sz w:val="20"/>
          <w:szCs w:val="20"/>
        </w:rPr>
        <w:t>.</w:t>
      </w:r>
    </w:p>
    <w:p w:rsidR="000E60F1" w:rsidRDefault="000E60F1" w:rsidP="005301C7">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b/>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 xml:space="preserve">2: A </w:t>
      </w:r>
      <w:r>
        <w:rPr>
          <w:rFonts w:ascii="Times New Roman" w:hAnsi="Times New Roman"/>
          <w:b/>
          <w:i/>
          <w:sz w:val="20"/>
          <w:szCs w:val="20"/>
        </w:rPr>
        <w:t xml:space="preserve">redundant transmission </w:t>
      </w:r>
      <w:r>
        <w:rPr>
          <w:rFonts w:ascii="Times New Roman" w:hAnsi="Times New Roman" w:hint="eastAsia"/>
          <w:b/>
          <w:i/>
          <w:sz w:val="20"/>
          <w:szCs w:val="20"/>
        </w:rPr>
        <w:t xml:space="preserve">scheme can </w:t>
      </w:r>
      <w:r>
        <w:rPr>
          <w:rFonts w:ascii="Times New Roman" w:hAnsi="Times New Roman"/>
          <w:b/>
          <w:i/>
          <w:sz w:val="20"/>
          <w:szCs w:val="20"/>
        </w:rPr>
        <w:t>avoid</w:t>
      </w:r>
      <w:r>
        <w:rPr>
          <w:rFonts w:ascii="Times New Roman" w:hAnsi="Times New Roman" w:hint="eastAsia"/>
          <w:b/>
          <w:i/>
          <w:sz w:val="20"/>
          <w:szCs w:val="20"/>
        </w:rPr>
        <w:t xml:space="preserve"> that the gNB and the UE work in the different DL bandwidth part</w:t>
      </w:r>
      <w:r>
        <w:rPr>
          <w:rFonts w:ascii="Times New Roman" w:hAnsi="Times New Roman"/>
          <w:b/>
          <w:i/>
          <w:sz w:val="20"/>
          <w:szCs w:val="20"/>
        </w:rPr>
        <w:t>s</w:t>
      </w:r>
      <w:r>
        <w:rPr>
          <w:rFonts w:ascii="Times New Roman" w:hAnsi="Times New Roman" w:hint="eastAsia"/>
          <w:b/>
          <w:i/>
          <w:sz w:val="20"/>
          <w:szCs w:val="20"/>
        </w:rPr>
        <w:t xml:space="preserve"> </w:t>
      </w:r>
      <w:r>
        <w:rPr>
          <w:rFonts w:ascii="Times New Roman" w:hAnsi="Times New Roman"/>
          <w:b/>
          <w:i/>
          <w:sz w:val="20"/>
          <w:szCs w:val="20"/>
        </w:rPr>
        <w:t>due to missing</w:t>
      </w:r>
      <w:r>
        <w:rPr>
          <w:rFonts w:ascii="Times New Roman" w:hAnsi="Times New Roman" w:hint="eastAsia"/>
          <w:b/>
          <w:i/>
          <w:sz w:val="20"/>
          <w:szCs w:val="20"/>
        </w:rPr>
        <w:t xml:space="preserve"> </w:t>
      </w:r>
      <w:r>
        <w:rPr>
          <w:rFonts w:ascii="Times New Roman" w:hAnsi="Times New Roman"/>
          <w:b/>
          <w:i/>
          <w:sz w:val="20"/>
          <w:szCs w:val="20"/>
        </w:rPr>
        <w:t xml:space="preserve">of </w:t>
      </w:r>
      <w:r>
        <w:rPr>
          <w:rFonts w:ascii="Times New Roman" w:hAnsi="Times New Roman" w:hint="eastAsia"/>
          <w:b/>
          <w:i/>
          <w:sz w:val="20"/>
          <w:szCs w:val="20"/>
        </w:rPr>
        <w:t xml:space="preserve">switching </w:t>
      </w:r>
      <w:r>
        <w:rPr>
          <w:rFonts w:ascii="Times New Roman" w:hAnsi="Times New Roman"/>
          <w:b/>
          <w:i/>
          <w:sz w:val="20"/>
          <w:szCs w:val="20"/>
        </w:rPr>
        <w:t>DCI.</w:t>
      </w:r>
    </w:p>
    <w:p w:rsidR="000E60F1" w:rsidRDefault="000E60F1" w:rsidP="000E60F1">
      <w:pPr>
        <w:overflowPunct w:val="0"/>
        <w:autoSpaceDE w:val="0"/>
        <w:autoSpaceDN w:val="0"/>
        <w:adjustRightInd w:val="0"/>
        <w:spacing w:after="120" w:line="360" w:lineRule="auto"/>
        <w:jc w:val="both"/>
        <w:textAlignment w:val="baseline"/>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1</w:t>
      </w:r>
      <w:r>
        <w:rPr>
          <w:rFonts w:ascii="Times New Roman" w:hAnsi="Times New Roman"/>
          <w:b/>
          <w:i/>
          <w:sz w:val="20"/>
          <w:szCs w:val="20"/>
        </w:rPr>
        <w:t>:</w:t>
      </w:r>
      <w:r>
        <w:rPr>
          <w:rFonts w:ascii="Times New Roman" w:hAnsi="Times New Roman" w:hint="eastAsia"/>
          <w:b/>
          <w:i/>
          <w:sz w:val="20"/>
          <w:szCs w:val="20"/>
        </w:rPr>
        <w:t xml:space="preserve"> gNB inform </w:t>
      </w:r>
      <w:r>
        <w:rPr>
          <w:rFonts w:ascii="Times New Roman" w:hAnsi="Times New Roman"/>
          <w:b/>
          <w:i/>
          <w:sz w:val="20"/>
          <w:szCs w:val="20"/>
        </w:rPr>
        <w:t>maximum</w:t>
      </w:r>
      <w:r>
        <w:rPr>
          <w:rFonts w:ascii="Times New Roman" w:hAnsi="Times New Roman" w:hint="eastAsia"/>
          <w:b/>
          <w:i/>
          <w:sz w:val="20"/>
          <w:szCs w:val="20"/>
        </w:rPr>
        <w:t xml:space="preserve"> SCS within a wideband NR carrier as a </w:t>
      </w:r>
      <w:r>
        <w:rPr>
          <w:rFonts w:ascii="Times New Roman" w:hAnsi="Times New Roman"/>
          <w:b/>
          <w:i/>
          <w:sz w:val="20"/>
          <w:szCs w:val="20"/>
        </w:rPr>
        <w:t xml:space="preserve">reference </w:t>
      </w:r>
      <w:r>
        <w:rPr>
          <w:rFonts w:ascii="Times New Roman" w:hAnsi="Times New Roman" w:hint="eastAsia"/>
          <w:b/>
          <w:i/>
          <w:sz w:val="20"/>
          <w:szCs w:val="20"/>
        </w:rPr>
        <w:t xml:space="preserve">SCS used for dividing bandwidth part to UEs </w:t>
      </w:r>
      <w:r>
        <w:rPr>
          <w:rFonts w:ascii="Times New Roman" w:hAnsi="Times New Roman"/>
          <w:b/>
          <w:i/>
          <w:sz w:val="20"/>
          <w:szCs w:val="20"/>
        </w:rPr>
        <w:t>in addition to</w:t>
      </w:r>
      <w:r>
        <w:rPr>
          <w:rFonts w:ascii="Times New Roman" w:hAnsi="Times New Roman" w:hint="eastAsia"/>
          <w:b/>
          <w:i/>
          <w:sz w:val="20"/>
          <w:szCs w:val="20"/>
        </w:rPr>
        <w:t xml:space="preserve"> n</w:t>
      </w:r>
      <w:r>
        <w:rPr>
          <w:rFonts w:ascii="Times New Roman" w:hAnsi="Times New Roman"/>
          <w:b/>
          <w:i/>
          <w:sz w:val="20"/>
          <w:szCs w:val="20"/>
        </w:rPr>
        <w:t>umerology</w:t>
      </w:r>
      <w:r>
        <w:rPr>
          <w:rFonts w:ascii="Times New Roman" w:hAnsi="Times New Roman" w:hint="eastAsia"/>
          <w:b/>
          <w:i/>
          <w:sz w:val="20"/>
          <w:szCs w:val="20"/>
        </w:rPr>
        <w:t>,</w:t>
      </w:r>
      <w:r>
        <w:rPr>
          <w:rFonts w:ascii="Times New Roman" w:hAnsi="Times New Roman"/>
          <w:b/>
          <w:i/>
          <w:sz w:val="20"/>
          <w:szCs w:val="20"/>
        </w:rPr>
        <w:t xml:space="preserve"> </w:t>
      </w:r>
      <w:r>
        <w:rPr>
          <w:rFonts w:ascii="Times New Roman" w:hAnsi="Times New Roman" w:hint="eastAsia"/>
          <w:b/>
          <w:i/>
          <w:sz w:val="20"/>
          <w:szCs w:val="20"/>
        </w:rPr>
        <w:t>f</w:t>
      </w:r>
      <w:r>
        <w:rPr>
          <w:rFonts w:ascii="Times New Roman" w:hAnsi="Times New Roman"/>
          <w:b/>
          <w:i/>
          <w:sz w:val="20"/>
          <w:szCs w:val="20"/>
        </w:rPr>
        <w:t>requency location</w:t>
      </w:r>
      <w:r>
        <w:rPr>
          <w:rFonts w:ascii="Times New Roman" w:hAnsi="Times New Roman" w:hint="eastAsia"/>
          <w:b/>
          <w:i/>
          <w:sz w:val="20"/>
          <w:szCs w:val="20"/>
        </w:rPr>
        <w:t xml:space="preserve"> and b</w:t>
      </w:r>
      <w:r>
        <w:rPr>
          <w:rFonts w:ascii="Times New Roman" w:hAnsi="Times New Roman"/>
          <w:b/>
          <w:i/>
          <w:sz w:val="20"/>
          <w:szCs w:val="20"/>
        </w:rPr>
        <w:t xml:space="preserve">andwidth </w:t>
      </w:r>
      <w:r>
        <w:rPr>
          <w:rFonts w:ascii="Times New Roman" w:hAnsi="Times New Roman" w:hint="eastAsia"/>
          <w:b/>
          <w:i/>
          <w:sz w:val="20"/>
          <w:szCs w:val="20"/>
        </w:rPr>
        <w:t>when c</w:t>
      </w:r>
      <w:r>
        <w:rPr>
          <w:rFonts w:ascii="Times New Roman" w:hAnsi="Times New Roman"/>
          <w:b/>
          <w:i/>
          <w:sz w:val="20"/>
          <w:szCs w:val="20"/>
        </w:rPr>
        <w:t>onfiguration of a bandwidth part</w:t>
      </w:r>
      <w:r>
        <w:rPr>
          <w:rFonts w:ascii="Times New Roman" w:hAnsi="Times New Roman" w:hint="eastAsia"/>
          <w:b/>
          <w:i/>
          <w:sz w:val="20"/>
          <w:szCs w:val="20"/>
        </w:rPr>
        <w:t>.</w:t>
      </w:r>
    </w:p>
    <w:p w:rsidR="000E60F1" w:rsidRDefault="000E60F1" w:rsidP="000E60F1">
      <w:pPr>
        <w:overflowPunct w:val="0"/>
        <w:autoSpaceDE w:val="0"/>
        <w:autoSpaceDN w:val="0"/>
        <w:adjustRightInd w:val="0"/>
        <w:spacing w:after="120" w:line="360" w:lineRule="auto"/>
        <w:jc w:val="both"/>
        <w:textAlignment w:val="baseline"/>
        <w:rPr>
          <w:rFonts w:ascii="Times New Roman" w:hAnsi="Times New Roman"/>
          <w:b/>
          <w:i/>
          <w:sz w:val="20"/>
          <w:szCs w:val="20"/>
        </w:rPr>
      </w:pPr>
      <w:r>
        <w:rPr>
          <w:rFonts w:ascii="Times New Roman" w:hAnsi="Times New Roman"/>
          <w:b/>
          <w:i/>
          <w:sz w:val="20"/>
          <w:szCs w:val="20"/>
        </w:rPr>
        <w:t>P</w:t>
      </w:r>
      <w:r>
        <w:rPr>
          <w:rFonts w:ascii="Times New Roman" w:hAnsi="Times New Roman" w:hint="eastAsia"/>
          <w:b/>
          <w:i/>
          <w:sz w:val="20"/>
          <w:szCs w:val="20"/>
        </w:rPr>
        <w:t xml:space="preserve">roposal 2: </w:t>
      </w:r>
      <w:r>
        <w:rPr>
          <w:rFonts w:ascii="Times New Roman" w:hAnsi="Times New Roman"/>
          <w:b/>
          <w:i/>
          <w:sz w:val="20"/>
          <w:szCs w:val="20"/>
        </w:rPr>
        <w:t>Simultaneously</w:t>
      </w:r>
      <w:r>
        <w:rPr>
          <w:rFonts w:ascii="Times New Roman" w:hAnsi="Times New Roman" w:hint="eastAsia"/>
          <w:b/>
          <w:i/>
          <w:sz w:val="20"/>
          <w:szCs w:val="20"/>
        </w:rPr>
        <w:t xml:space="preserve"> </w:t>
      </w:r>
      <w:r>
        <w:rPr>
          <w:rFonts w:ascii="Times New Roman" w:hAnsi="Times New Roman"/>
          <w:b/>
          <w:i/>
          <w:sz w:val="20"/>
          <w:szCs w:val="20"/>
        </w:rPr>
        <w:t>a</w:t>
      </w:r>
      <w:r>
        <w:rPr>
          <w:rFonts w:ascii="Times New Roman" w:hAnsi="Times New Roman" w:hint="eastAsia"/>
          <w:b/>
          <w:i/>
          <w:sz w:val="20"/>
          <w:szCs w:val="20"/>
        </w:rPr>
        <w:t>ctivating m</w:t>
      </w:r>
      <w:r>
        <w:rPr>
          <w:rFonts w:ascii="Times New Roman" w:hAnsi="Times New Roman"/>
          <w:b/>
          <w:i/>
          <w:sz w:val="20"/>
          <w:szCs w:val="20"/>
        </w:rPr>
        <w:t>ultiple</w:t>
      </w:r>
      <w:r>
        <w:rPr>
          <w:rFonts w:ascii="Times New Roman" w:hAnsi="Times New Roman" w:hint="eastAsia"/>
          <w:b/>
          <w:i/>
          <w:sz w:val="20"/>
          <w:szCs w:val="20"/>
        </w:rPr>
        <w:t xml:space="preserve"> </w:t>
      </w:r>
      <w:r>
        <w:rPr>
          <w:rFonts w:ascii="Times New Roman" w:hAnsi="Times New Roman"/>
          <w:b/>
          <w:i/>
          <w:sz w:val="20"/>
          <w:szCs w:val="20"/>
        </w:rPr>
        <w:t>bandwidth parts with</w:t>
      </w:r>
      <w:r>
        <w:rPr>
          <w:rFonts w:ascii="Times New Roman" w:hAnsi="Times New Roman" w:hint="eastAsia"/>
          <w:b/>
          <w:i/>
          <w:sz w:val="20"/>
          <w:szCs w:val="20"/>
        </w:rPr>
        <w:t xml:space="preserve"> different</w:t>
      </w:r>
      <w:r>
        <w:rPr>
          <w:rFonts w:ascii="Times New Roman" w:hAnsi="Times New Roman"/>
          <w:b/>
          <w:i/>
          <w:sz w:val="20"/>
          <w:szCs w:val="20"/>
        </w:rPr>
        <w:t xml:space="preserve"> numerolog</w:t>
      </w:r>
      <w:r>
        <w:rPr>
          <w:rFonts w:ascii="Times New Roman" w:hAnsi="Times New Roman" w:hint="eastAsia"/>
          <w:b/>
          <w:i/>
          <w:sz w:val="20"/>
          <w:szCs w:val="20"/>
        </w:rPr>
        <w:t xml:space="preserve">ies should be </w:t>
      </w:r>
      <w:r>
        <w:rPr>
          <w:rFonts w:ascii="Times New Roman" w:hAnsi="Times New Roman"/>
          <w:b/>
          <w:i/>
          <w:sz w:val="20"/>
          <w:szCs w:val="20"/>
        </w:rPr>
        <w:t>supported</w:t>
      </w:r>
      <w:r>
        <w:rPr>
          <w:rFonts w:ascii="Times New Roman" w:hAnsi="Times New Roman" w:hint="eastAsia"/>
          <w:b/>
          <w:i/>
          <w:sz w:val="20"/>
          <w:szCs w:val="20"/>
        </w:rPr>
        <w:t xml:space="preserve"> in one </w:t>
      </w:r>
      <w:r>
        <w:rPr>
          <w:rFonts w:ascii="Times New Roman" w:hAnsi="Times New Roman"/>
          <w:b/>
          <w:i/>
          <w:sz w:val="20"/>
          <w:szCs w:val="20"/>
        </w:rPr>
        <w:t>frequency</w:t>
      </w:r>
      <w:r>
        <w:rPr>
          <w:rFonts w:ascii="Times New Roman" w:hAnsi="Times New Roman" w:hint="eastAsia"/>
          <w:b/>
          <w:i/>
          <w:sz w:val="20"/>
          <w:szCs w:val="20"/>
        </w:rPr>
        <w:t xml:space="preserve"> range.</w:t>
      </w:r>
    </w:p>
    <w:p w:rsidR="000E60F1" w:rsidRDefault="000E60F1" w:rsidP="000E60F1">
      <w:pPr>
        <w:overflowPunct w:val="0"/>
        <w:autoSpaceDE w:val="0"/>
        <w:autoSpaceDN w:val="0"/>
        <w:adjustRightInd w:val="0"/>
        <w:spacing w:after="120" w:line="360" w:lineRule="auto"/>
        <w:jc w:val="both"/>
        <w:textAlignment w:val="baseline"/>
        <w:rPr>
          <w:rFonts w:ascii="Times New Roman" w:hAnsi="Times New Roman"/>
          <w:b/>
          <w:i/>
          <w:sz w:val="20"/>
          <w:szCs w:val="20"/>
        </w:rPr>
      </w:pPr>
      <w:r>
        <w:rPr>
          <w:rFonts w:ascii="Times New Roman" w:hAnsi="Times New Roman" w:hint="eastAsia"/>
          <w:b/>
          <w:i/>
          <w:sz w:val="20"/>
          <w:szCs w:val="20"/>
        </w:rPr>
        <w:t xml:space="preserve">Proposal 3: The DCI signal including the bandwidth part ID can be used to </w:t>
      </w:r>
      <w:r>
        <w:rPr>
          <w:rFonts w:ascii="Times New Roman" w:hAnsi="Times New Roman"/>
          <w:b/>
          <w:i/>
          <w:sz w:val="20"/>
          <w:szCs w:val="20"/>
        </w:rPr>
        <w:t xml:space="preserve">support dynamic </w:t>
      </w:r>
      <w:r>
        <w:rPr>
          <w:rFonts w:ascii="Times New Roman" w:hAnsi="Times New Roman" w:hint="eastAsia"/>
          <w:b/>
          <w:i/>
          <w:sz w:val="20"/>
          <w:szCs w:val="20"/>
        </w:rPr>
        <w:t xml:space="preserve">bandwidth part </w:t>
      </w:r>
      <w:r>
        <w:rPr>
          <w:rFonts w:ascii="Times New Roman" w:hAnsi="Times New Roman"/>
          <w:b/>
          <w:i/>
          <w:sz w:val="20"/>
          <w:szCs w:val="20"/>
        </w:rPr>
        <w:t>switching</w:t>
      </w:r>
      <w:r>
        <w:rPr>
          <w:rFonts w:ascii="Times New Roman" w:hAnsi="Times New Roman" w:hint="eastAsia"/>
          <w:b/>
          <w:i/>
          <w:sz w:val="20"/>
          <w:szCs w:val="20"/>
        </w:rPr>
        <w:t>.</w:t>
      </w:r>
    </w:p>
    <w:p w:rsidR="000E60F1" w:rsidRDefault="000E60F1" w:rsidP="000E60F1">
      <w:pPr>
        <w:numPr>
          <w:ilvl w:val="255"/>
          <w:numId w:val="0"/>
        </w:numPr>
        <w:spacing w:after="0" w:line="360" w:lineRule="auto"/>
        <w:rPr>
          <w:rFonts w:ascii="Times New Roman" w:hAnsi="Times New Roman"/>
          <w:b/>
          <w:i/>
          <w:sz w:val="20"/>
          <w:szCs w:val="20"/>
        </w:rPr>
      </w:pPr>
      <w:r>
        <w:rPr>
          <w:rFonts w:ascii="Times New Roman" w:hAnsi="Times New Roman" w:hint="eastAsia"/>
          <w:b/>
          <w:i/>
          <w:sz w:val="20"/>
          <w:szCs w:val="20"/>
        </w:rPr>
        <w:t xml:space="preserve">Proposal 4:  </w:t>
      </w:r>
      <w:r w:rsidRPr="00915615">
        <w:rPr>
          <w:rFonts w:ascii="Times New Roman" w:hAnsi="Times New Roman"/>
          <w:b/>
          <w:i/>
          <w:sz w:val="20"/>
          <w:szCs w:val="20"/>
        </w:rPr>
        <w:t>Semi-statically configured RBG size(s) per BWP for deriving number of RBGs.</w:t>
      </w:r>
    </w:p>
    <w:p w:rsidR="00020E47" w:rsidRDefault="00DA2A06" w:rsidP="005301C7">
      <w:pPr>
        <w:pStyle w:val="Heading1"/>
        <w:numPr>
          <w:ilvl w:val="0"/>
          <w:numId w:val="0"/>
        </w:numPr>
        <w:spacing w:beforeLines="50" w:afterLines="50" w:line="360" w:lineRule="auto"/>
        <w:ind w:left="432" w:hanging="432"/>
        <w:rPr>
          <w:rFonts w:ascii="Times New Roman" w:eastAsia="SimSun" w:hAnsi="Times New Roman"/>
          <w:b w:val="0"/>
          <w:bCs w:val="0"/>
          <w:sz w:val="20"/>
          <w:szCs w:val="20"/>
          <w:lang w:val="en-US"/>
        </w:rPr>
      </w:pPr>
      <w:r>
        <w:rPr>
          <w:sz w:val="32"/>
          <w:szCs w:val="32"/>
          <w:lang w:val="en-US"/>
        </w:rPr>
        <w:t>References</w:t>
      </w:r>
    </w:p>
    <w:p w:rsidR="00815DCE" w:rsidRDefault="00DA2A06">
      <w:pPr>
        <w:pStyle w:val="1"/>
        <w:widowControl/>
        <w:numPr>
          <w:ilvl w:val="0"/>
          <w:numId w:val="8"/>
        </w:numPr>
        <w:adjustRightInd w:val="0"/>
        <w:spacing w:line="360" w:lineRule="auto"/>
        <w:ind w:left="432" w:firstLineChars="0"/>
        <w:jc w:val="left"/>
        <w:rPr>
          <w:kern w:val="0"/>
          <w:sz w:val="20"/>
          <w:szCs w:val="20"/>
        </w:rPr>
      </w:pPr>
      <w:bookmarkStart w:id="7" w:name="_Ref462854657"/>
      <w:r>
        <w:rPr>
          <w:kern w:val="0"/>
          <w:sz w:val="20"/>
          <w:szCs w:val="20"/>
        </w:rPr>
        <w:t xml:space="preserve">3GPP Chairman’s notes </w:t>
      </w:r>
      <w:r>
        <w:rPr>
          <w:rFonts w:hint="eastAsia"/>
          <w:kern w:val="0"/>
          <w:sz w:val="20"/>
          <w:szCs w:val="20"/>
        </w:rPr>
        <w:t xml:space="preserve">in </w:t>
      </w:r>
      <w:r>
        <w:rPr>
          <w:kern w:val="0"/>
          <w:sz w:val="20"/>
          <w:szCs w:val="20"/>
        </w:rPr>
        <w:t>RAN1#</w:t>
      </w:r>
      <w:r>
        <w:rPr>
          <w:rFonts w:hint="eastAsia"/>
          <w:kern w:val="0"/>
          <w:sz w:val="20"/>
          <w:szCs w:val="20"/>
        </w:rPr>
        <w:t>AH2</w:t>
      </w:r>
      <w:r>
        <w:rPr>
          <w:kern w:val="0"/>
          <w:sz w:val="20"/>
          <w:szCs w:val="20"/>
        </w:rPr>
        <w:t>, 201</w:t>
      </w:r>
      <w:r>
        <w:rPr>
          <w:rFonts w:hint="eastAsia"/>
          <w:kern w:val="0"/>
          <w:sz w:val="20"/>
          <w:szCs w:val="20"/>
        </w:rPr>
        <w:t>7</w:t>
      </w:r>
      <w:r>
        <w:rPr>
          <w:kern w:val="0"/>
          <w:sz w:val="20"/>
          <w:szCs w:val="20"/>
        </w:rPr>
        <w:t>-</w:t>
      </w:r>
      <w:bookmarkEnd w:id="7"/>
      <w:r>
        <w:rPr>
          <w:rFonts w:hint="eastAsia"/>
          <w:kern w:val="0"/>
          <w:sz w:val="20"/>
          <w:szCs w:val="20"/>
        </w:rPr>
        <w:t>06</w:t>
      </w:r>
    </w:p>
    <w:p w:rsidR="00815DCE" w:rsidRDefault="00DA2A06">
      <w:pPr>
        <w:pStyle w:val="1"/>
        <w:widowControl/>
        <w:numPr>
          <w:ilvl w:val="0"/>
          <w:numId w:val="8"/>
        </w:numPr>
        <w:adjustRightInd w:val="0"/>
        <w:spacing w:line="360" w:lineRule="auto"/>
        <w:ind w:left="432" w:firstLineChars="0"/>
        <w:jc w:val="left"/>
        <w:rPr>
          <w:kern w:val="0"/>
          <w:sz w:val="20"/>
          <w:szCs w:val="20"/>
        </w:rPr>
      </w:pPr>
      <w:r>
        <w:rPr>
          <w:iCs/>
          <w:szCs w:val="20"/>
        </w:rPr>
        <w:t>R1-1710126</w:t>
      </w:r>
      <w:r>
        <w:rPr>
          <w:rFonts w:hint="eastAsia"/>
          <w:iCs/>
          <w:szCs w:val="20"/>
        </w:rPr>
        <w:t>,</w:t>
      </w:r>
      <w:r>
        <w:rPr>
          <w:iCs/>
          <w:szCs w:val="20"/>
        </w:rPr>
        <w:t xml:space="preserve"> “</w:t>
      </w:r>
      <w:r>
        <w:rPr>
          <w:rFonts w:hint="eastAsia"/>
          <w:sz w:val="22"/>
        </w:rPr>
        <w:t>Resource allocation for wideband operation</w:t>
      </w:r>
      <w:r>
        <w:rPr>
          <w:iCs/>
          <w:szCs w:val="20"/>
        </w:rPr>
        <w:t>”</w:t>
      </w:r>
      <w:r>
        <w:rPr>
          <w:rFonts w:hint="eastAsia"/>
          <w:iCs/>
          <w:szCs w:val="20"/>
        </w:rPr>
        <w:t>,</w:t>
      </w:r>
      <w:r>
        <w:rPr>
          <w:iCs/>
          <w:szCs w:val="20"/>
        </w:rPr>
        <w:t xml:space="preserve"> ZTE</w:t>
      </w:r>
      <w:r>
        <w:rPr>
          <w:rFonts w:hint="eastAsia"/>
          <w:iCs/>
          <w:szCs w:val="20"/>
        </w:rPr>
        <w:t>,</w:t>
      </w:r>
      <w:r>
        <w:rPr>
          <w:iCs/>
          <w:szCs w:val="20"/>
        </w:rPr>
        <w:t xml:space="preserve"> RAN1#</w:t>
      </w:r>
      <w:r>
        <w:rPr>
          <w:rFonts w:hint="eastAsia"/>
          <w:iCs/>
          <w:szCs w:val="20"/>
        </w:rPr>
        <w:t>AH2</w:t>
      </w:r>
      <w:r>
        <w:rPr>
          <w:iCs/>
          <w:szCs w:val="20"/>
        </w:rPr>
        <w:t xml:space="preserve">, </w:t>
      </w:r>
      <w:r>
        <w:rPr>
          <w:rFonts w:hint="eastAsia"/>
          <w:iCs/>
          <w:szCs w:val="20"/>
        </w:rPr>
        <w:t>June</w:t>
      </w:r>
      <w:r>
        <w:rPr>
          <w:iCs/>
          <w:szCs w:val="20"/>
        </w:rPr>
        <w:t xml:space="preserve"> 201</w:t>
      </w:r>
      <w:r>
        <w:rPr>
          <w:rFonts w:hint="eastAsia"/>
          <w:iCs/>
          <w:szCs w:val="20"/>
        </w:rPr>
        <w:t>7</w:t>
      </w:r>
    </w:p>
    <w:sectPr w:rsidR="00815DCE" w:rsidSect="00815DCE">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FEB" w:rsidRDefault="003E6FEB" w:rsidP="00A17F57">
      <w:pPr>
        <w:spacing w:after="0" w:line="240" w:lineRule="auto"/>
      </w:pPr>
      <w:r>
        <w:separator/>
      </w:r>
    </w:p>
  </w:endnote>
  <w:endnote w:type="continuationSeparator" w:id="0">
    <w:p w:rsidR="003E6FEB" w:rsidRDefault="003E6FEB" w:rsidP="00A17F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FEB" w:rsidRDefault="003E6FEB" w:rsidP="00A17F57">
      <w:pPr>
        <w:spacing w:after="0" w:line="240" w:lineRule="auto"/>
      </w:pPr>
      <w:r>
        <w:separator/>
      </w:r>
    </w:p>
  </w:footnote>
  <w:footnote w:type="continuationSeparator" w:id="0">
    <w:p w:rsidR="003E6FEB" w:rsidRDefault="003E6FEB" w:rsidP="00A17F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
    <w:nsid w:val="37740B6F"/>
    <w:multiLevelType w:val="multilevel"/>
    <w:tmpl w:val="37740B6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CEE301A"/>
    <w:multiLevelType w:val="multilevel"/>
    <w:tmpl w:val="3CEE301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nsid w:val="554446C4"/>
    <w:multiLevelType w:val="multilevel"/>
    <w:tmpl w:val="554446C4"/>
    <w:lvl w:ilvl="0">
      <w:start w:val="1"/>
      <w:numFmt w:val="bullet"/>
      <w:lvlText w:val="•"/>
      <w:lvlJc w:val="left"/>
      <w:pPr>
        <w:tabs>
          <w:tab w:val="left" w:pos="720"/>
        </w:tabs>
        <w:ind w:left="720" w:hanging="360"/>
      </w:pPr>
      <w:rPr>
        <w:rFonts w:ascii="Arial" w:hAnsi="Arial" w:hint="default"/>
      </w:rPr>
    </w:lvl>
    <w:lvl w:ilvl="1">
      <w:start w:val="2048"/>
      <w:numFmt w:val="bullet"/>
      <w:lvlText w:val="–"/>
      <w:lvlJc w:val="left"/>
      <w:pPr>
        <w:tabs>
          <w:tab w:val="left" w:pos="1440"/>
        </w:tabs>
        <w:ind w:left="1440" w:hanging="360"/>
      </w:pPr>
      <w:rPr>
        <w:rFonts w:ascii="Arial" w:hAnsi="Arial" w:hint="default"/>
      </w:rPr>
    </w:lvl>
    <w:lvl w:ilvl="2">
      <w:start w:val="204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B3253E3"/>
    <w:multiLevelType w:val="multilevel"/>
    <w:tmpl w:val="5B3253E3"/>
    <w:lvl w:ilvl="0">
      <w:start w:val="1"/>
      <w:numFmt w:val="bullet"/>
      <w:lvlText w:val="•"/>
      <w:lvlJc w:val="left"/>
      <w:pPr>
        <w:tabs>
          <w:tab w:val="left" w:pos="720"/>
        </w:tabs>
        <w:ind w:left="720" w:hanging="360"/>
      </w:pPr>
      <w:rPr>
        <w:rFonts w:ascii="Arial" w:hAnsi="Arial" w:hint="default"/>
      </w:rPr>
    </w:lvl>
    <w:lvl w:ilvl="1">
      <w:start w:val="242"/>
      <w:numFmt w:val="bullet"/>
      <w:lvlText w:val="–"/>
      <w:lvlJc w:val="left"/>
      <w:pPr>
        <w:tabs>
          <w:tab w:val="left" w:pos="1440"/>
        </w:tabs>
        <w:ind w:left="1440" w:hanging="360"/>
      </w:pPr>
      <w:rPr>
        <w:rFonts w:ascii="Arial" w:hAnsi="Arial" w:hint="default"/>
      </w:rPr>
    </w:lvl>
    <w:lvl w:ilvl="2">
      <w:start w:val="242"/>
      <w:numFmt w:val="bullet"/>
      <w:lvlText w:val="•"/>
      <w:lvlJc w:val="left"/>
      <w:pPr>
        <w:tabs>
          <w:tab w:val="left" w:pos="2160"/>
        </w:tabs>
        <w:ind w:left="2160" w:hanging="360"/>
      </w:pPr>
      <w:rPr>
        <w:rFonts w:ascii="Arial" w:hAnsi="Arial" w:hint="default"/>
      </w:rPr>
    </w:lvl>
    <w:lvl w:ilvl="3">
      <w:start w:val="242"/>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5C852023"/>
    <w:multiLevelType w:val="multilevel"/>
    <w:tmpl w:val="5C852023"/>
    <w:lvl w:ilvl="0">
      <w:start w:val="1"/>
      <w:numFmt w:val="bullet"/>
      <w:lvlText w:val="•"/>
      <w:lvlJc w:val="left"/>
      <w:pPr>
        <w:tabs>
          <w:tab w:val="left" w:pos="720"/>
        </w:tabs>
        <w:ind w:left="720" w:hanging="360"/>
      </w:pPr>
      <w:rPr>
        <w:rFonts w:ascii="Arial" w:hAnsi="Arial" w:hint="default"/>
      </w:rPr>
    </w:lvl>
    <w:lvl w:ilvl="1">
      <w:start w:val="4383"/>
      <w:numFmt w:val="bullet"/>
      <w:lvlText w:val="–"/>
      <w:lvlJc w:val="left"/>
      <w:pPr>
        <w:tabs>
          <w:tab w:val="left" w:pos="1440"/>
        </w:tabs>
        <w:ind w:left="1440" w:hanging="360"/>
      </w:pPr>
      <w:rPr>
        <w:rFonts w:ascii="Arial" w:hAnsi="Arial" w:hint="default"/>
      </w:rPr>
    </w:lvl>
    <w:lvl w:ilvl="2">
      <w:start w:val="438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6E212F28"/>
    <w:multiLevelType w:val="multilevel"/>
    <w:tmpl w:val="6E212F2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1"/>
  </w:num>
  <w:num w:numId="5">
    <w:abstractNumId w:val="7"/>
  </w:num>
  <w:num w:numId="6">
    <w:abstractNumId w:val="2"/>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36866"/>
  </w:hdrShapeDefaults>
  <w:footnotePr>
    <w:footnote w:id="-1"/>
    <w:footnote w:id="0"/>
  </w:footnotePr>
  <w:endnotePr>
    <w:endnote w:id="-1"/>
    <w:endnote w:id="0"/>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F05"/>
    <w:rsid w:val="00017050"/>
    <w:rsid w:val="000204F1"/>
    <w:rsid w:val="0002065C"/>
    <w:rsid w:val="000206A9"/>
    <w:rsid w:val="000206F4"/>
    <w:rsid w:val="000207A5"/>
    <w:rsid w:val="0002096E"/>
    <w:rsid w:val="00020A7D"/>
    <w:rsid w:val="00020E47"/>
    <w:rsid w:val="00020E84"/>
    <w:rsid w:val="000212A6"/>
    <w:rsid w:val="000213E7"/>
    <w:rsid w:val="00021825"/>
    <w:rsid w:val="000220F2"/>
    <w:rsid w:val="000221D5"/>
    <w:rsid w:val="000222E3"/>
    <w:rsid w:val="00022505"/>
    <w:rsid w:val="000225C7"/>
    <w:rsid w:val="00022C10"/>
    <w:rsid w:val="00023019"/>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12"/>
    <w:rsid w:val="000325A9"/>
    <w:rsid w:val="00032741"/>
    <w:rsid w:val="000332EA"/>
    <w:rsid w:val="00033454"/>
    <w:rsid w:val="00033E24"/>
    <w:rsid w:val="000342F2"/>
    <w:rsid w:val="0003491A"/>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905"/>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533"/>
    <w:rsid w:val="00047BFF"/>
    <w:rsid w:val="00047C96"/>
    <w:rsid w:val="00047E55"/>
    <w:rsid w:val="00047FE1"/>
    <w:rsid w:val="0005024A"/>
    <w:rsid w:val="00051587"/>
    <w:rsid w:val="000515E3"/>
    <w:rsid w:val="00051937"/>
    <w:rsid w:val="0005197D"/>
    <w:rsid w:val="000519BD"/>
    <w:rsid w:val="00051A81"/>
    <w:rsid w:val="00051CF3"/>
    <w:rsid w:val="00052075"/>
    <w:rsid w:val="00052271"/>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C9"/>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643"/>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5BB"/>
    <w:rsid w:val="000B6875"/>
    <w:rsid w:val="000B6AA3"/>
    <w:rsid w:val="000B6CCA"/>
    <w:rsid w:val="000B73EB"/>
    <w:rsid w:val="000B77F4"/>
    <w:rsid w:val="000B7A26"/>
    <w:rsid w:val="000B7B43"/>
    <w:rsid w:val="000B7DA7"/>
    <w:rsid w:val="000B7E00"/>
    <w:rsid w:val="000B7F69"/>
    <w:rsid w:val="000C0034"/>
    <w:rsid w:val="000C0219"/>
    <w:rsid w:val="000C050C"/>
    <w:rsid w:val="000C062A"/>
    <w:rsid w:val="000C080C"/>
    <w:rsid w:val="000C1168"/>
    <w:rsid w:val="000C1202"/>
    <w:rsid w:val="000C192C"/>
    <w:rsid w:val="000C1992"/>
    <w:rsid w:val="000C1E90"/>
    <w:rsid w:val="000C1EA7"/>
    <w:rsid w:val="000C3921"/>
    <w:rsid w:val="000C3AD9"/>
    <w:rsid w:val="000C4521"/>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24EA"/>
    <w:rsid w:val="000D3BE5"/>
    <w:rsid w:val="000D3F2D"/>
    <w:rsid w:val="000D3FD9"/>
    <w:rsid w:val="000D40CE"/>
    <w:rsid w:val="000D40EC"/>
    <w:rsid w:val="000D446A"/>
    <w:rsid w:val="000D4492"/>
    <w:rsid w:val="000D463D"/>
    <w:rsid w:val="000D476E"/>
    <w:rsid w:val="000D4ECB"/>
    <w:rsid w:val="000D4F5B"/>
    <w:rsid w:val="000D592D"/>
    <w:rsid w:val="000D5942"/>
    <w:rsid w:val="000D5A96"/>
    <w:rsid w:val="000D5CFC"/>
    <w:rsid w:val="000D5EAA"/>
    <w:rsid w:val="000D5FB2"/>
    <w:rsid w:val="000D634B"/>
    <w:rsid w:val="000D6585"/>
    <w:rsid w:val="000D658D"/>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0F1"/>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1B0"/>
    <w:rsid w:val="0010229B"/>
    <w:rsid w:val="00102D2B"/>
    <w:rsid w:val="00102F2D"/>
    <w:rsid w:val="001030EF"/>
    <w:rsid w:val="00103771"/>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0FAE"/>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19"/>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2FE"/>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4948"/>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2D2D"/>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3A"/>
    <w:rsid w:val="001861C5"/>
    <w:rsid w:val="0018669B"/>
    <w:rsid w:val="00186936"/>
    <w:rsid w:val="00187097"/>
    <w:rsid w:val="00187105"/>
    <w:rsid w:val="00187289"/>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64D"/>
    <w:rsid w:val="001C3764"/>
    <w:rsid w:val="001C3816"/>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BCD"/>
    <w:rsid w:val="001E3C25"/>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EC0"/>
    <w:rsid w:val="00201F2A"/>
    <w:rsid w:val="00202061"/>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9CC"/>
    <w:rsid w:val="002129F1"/>
    <w:rsid w:val="00212C2B"/>
    <w:rsid w:val="00212EA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2E8"/>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569"/>
    <w:rsid w:val="002546D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FE"/>
    <w:rsid w:val="00257EA7"/>
    <w:rsid w:val="002608F5"/>
    <w:rsid w:val="00260BC3"/>
    <w:rsid w:val="00260CDE"/>
    <w:rsid w:val="00260ED3"/>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381"/>
    <w:rsid w:val="00274417"/>
    <w:rsid w:val="00274892"/>
    <w:rsid w:val="00274894"/>
    <w:rsid w:val="00274C22"/>
    <w:rsid w:val="00274E82"/>
    <w:rsid w:val="00274F0B"/>
    <w:rsid w:val="00275241"/>
    <w:rsid w:val="00275379"/>
    <w:rsid w:val="00275D26"/>
    <w:rsid w:val="00275D55"/>
    <w:rsid w:val="00275D9C"/>
    <w:rsid w:val="00275F8F"/>
    <w:rsid w:val="0027602C"/>
    <w:rsid w:val="002761E4"/>
    <w:rsid w:val="00276473"/>
    <w:rsid w:val="00276701"/>
    <w:rsid w:val="00276D9A"/>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B7F"/>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76"/>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F72"/>
    <w:rsid w:val="002E2FDC"/>
    <w:rsid w:val="002E30FF"/>
    <w:rsid w:val="002E325B"/>
    <w:rsid w:val="002E34AB"/>
    <w:rsid w:val="002E3842"/>
    <w:rsid w:val="002E3E73"/>
    <w:rsid w:val="002E423F"/>
    <w:rsid w:val="002E42C8"/>
    <w:rsid w:val="002E4398"/>
    <w:rsid w:val="002E468F"/>
    <w:rsid w:val="002E4AB8"/>
    <w:rsid w:val="002E4E10"/>
    <w:rsid w:val="002E58D1"/>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A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116"/>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A3C"/>
    <w:rsid w:val="00310E4E"/>
    <w:rsid w:val="00310FD6"/>
    <w:rsid w:val="00311121"/>
    <w:rsid w:val="00311D7D"/>
    <w:rsid w:val="00312853"/>
    <w:rsid w:val="00312B66"/>
    <w:rsid w:val="00312F0F"/>
    <w:rsid w:val="00313774"/>
    <w:rsid w:val="00313B14"/>
    <w:rsid w:val="00314004"/>
    <w:rsid w:val="0031422A"/>
    <w:rsid w:val="00314408"/>
    <w:rsid w:val="0031487E"/>
    <w:rsid w:val="003148EA"/>
    <w:rsid w:val="003149D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6AE"/>
    <w:rsid w:val="003166DB"/>
    <w:rsid w:val="00316723"/>
    <w:rsid w:val="003167CD"/>
    <w:rsid w:val="00316D36"/>
    <w:rsid w:val="00316DDE"/>
    <w:rsid w:val="00317021"/>
    <w:rsid w:val="0031716E"/>
    <w:rsid w:val="0031793B"/>
    <w:rsid w:val="00317FEA"/>
    <w:rsid w:val="0032018D"/>
    <w:rsid w:val="00320294"/>
    <w:rsid w:val="00321212"/>
    <w:rsid w:val="00321492"/>
    <w:rsid w:val="00321525"/>
    <w:rsid w:val="00321775"/>
    <w:rsid w:val="00321B1F"/>
    <w:rsid w:val="00321E45"/>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EB6"/>
    <w:rsid w:val="00342FB9"/>
    <w:rsid w:val="00343622"/>
    <w:rsid w:val="003439FC"/>
    <w:rsid w:val="00343DDD"/>
    <w:rsid w:val="00343E05"/>
    <w:rsid w:val="00343E90"/>
    <w:rsid w:val="00344468"/>
    <w:rsid w:val="00344655"/>
    <w:rsid w:val="00344AD6"/>
    <w:rsid w:val="00344DF2"/>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CB4"/>
    <w:rsid w:val="00362D3F"/>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670"/>
    <w:rsid w:val="00375DC9"/>
    <w:rsid w:val="00376264"/>
    <w:rsid w:val="003769CB"/>
    <w:rsid w:val="00376A10"/>
    <w:rsid w:val="00376EB8"/>
    <w:rsid w:val="00376F5A"/>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3302"/>
    <w:rsid w:val="003840EF"/>
    <w:rsid w:val="003842AA"/>
    <w:rsid w:val="003843D7"/>
    <w:rsid w:val="003843E2"/>
    <w:rsid w:val="00384687"/>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47"/>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6D6E"/>
    <w:rsid w:val="00396EF4"/>
    <w:rsid w:val="00396F7F"/>
    <w:rsid w:val="00397263"/>
    <w:rsid w:val="003972C6"/>
    <w:rsid w:val="00397E3C"/>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CE3"/>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A67"/>
    <w:rsid w:val="003C56BF"/>
    <w:rsid w:val="003C5714"/>
    <w:rsid w:val="003C5740"/>
    <w:rsid w:val="003C597E"/>
    <w:rsid w:val="003C5E02"/>
    <w:rsid w:val="003C6184"/>
    <w:rsid w:val="003C6447"/>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3F0B"/>
    <w:rsid w:val="003D4564"/>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1223"/>
    <w:rsid w:val="003E18F4"/>
    <w:rsid w:val="003E1907"/>
    <w:rsid w:val="003E1948"/>
    <w:rsid w:val="003E2253"/>
    <w:rsid w:val="003E233C"/>
    <w:rsid w:val="003E2D63"/>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6FEB"/>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7A6"/>
    <w:rsid w:val="003F791E"/>
    <w:rsid w:val="003F7ABA"/>
    <w:rsid w:val="003F7B06"/>
    <w:rsid w:val="003F7DC5"/>
    <w:rsid w:val="003F7ED8"/>
    <w:rsid w:val="003F7EE3"/>
    <w:rsid w:val="003F7EE7"/>
    <w:rsid w:val="003F7F45"/>
    <w:rsid w:val="00400190"/>
    <w:rsid w:val="0040046F"/>
    <w:rsid w:val="004004D7"/>
    <w:rsid w:val="00401123"/>
    <w:rsid w:val="00401328"/>
    <w:rsid w:val="00401807"/>
    <w:rsid w:val="00401AD1"/>
    <w:rsid w:val="00401D95"/>
    <w:rsid w:val="004024D2"/>
    <w:rsid w:val="00402F2F"/>
    <w:rsid w:val="0040372E"/>
    <w:rsid w:val="00403949"/>
    <w:rsid w:val="00403958"/>
    <w:rsid w:val="00403B3C"/>
    <w:rsid w:val="00404008"/>
    <w:rsid w:val="00404017"/>
    <w:rsid w:val="004041C5"/>
    <w:rsid w:val="00404393"/>
    <w:rsid w:val="00404905"/>
    <w:rsid w:val="00404B88"/>
    <w:rsid w:val="00404BB4"/>
    <w:rsid w:val="00404C14"/>
    <w:rsid w:val="00404E48"/>
    <w:rsid w:val="004050E9"/>
    <w:rsid w:val="004059FA"/>
    <w:rsid w:val="00405B31"/>
    <w:rsid w:val="00405BB4"/>
    <w:rsid w:val="004063D6"/>
    <w:rsid w:val="0040648E"/>
    <w:rsid w:val="004064AE"/>
    <w:rsid w:val="00406593"/>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266"/>
    <w:rsid w:val="0041265A"/>
    <w:rsid w:val="004126C8"/>
    <w:rsid w:val="00412756"/>
    <w:rsid w:val="0041284D"/>
    <w:rsid w:val="0041294A"/>
    <w:rsid w:val="00413419"/>
    <w:rsid w:val="004137D2"/>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01"/>
    <w:rsid w:val="00416DCC"/>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5B2"/>
    <w:rsid w:val="00424624"/>
    <w:rsid w:val="00424656"/>
    <w:rsid w:val="00424D1C"/>
    <w:rsid w:val="0042505A"/>
    <w:rsid w:val="00425373"/>
    <w:rsid w:val="004258C6"/>
    <w:rsid w:val="00425FD8"/>
    <w:rsid w:val="0042675C"/>
    <w:rsid w:val="00426C1A"/>
    <w:rsid w:val="00426C24"/>
    <w:rsid w:val="00426E5E"/>
    <w:rsid w:val="00426EBE"/>
    <w:rsid w:val="0042700F"/>
    <w:rsid w:val="00427AB9"/>
    <w:rsid w:val="00427AC8"/>
    <w:rsid w:val="004300AC"/>
    <w:rsid w:val="00430107"/>
    <w:rsid w:val="00430301"/>
    <w:rsid w:val="00430B0D"/>
    <w:rsid w:val="00431069"/>
    <w:rsid w:val="00431DB5"/>
    <w:rsid w:val="00431EDD"/>
    <w:rsid w:val="00432133"/>
    <w:rsid w:val="00432360"/>
    <w:rsid w:val="00432692"/>
    <w:rsid w:val="004329F5"/>
    <w:rsid w:val="00432A24"/>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BD"/>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8AA"/>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E7D"/>
    <w:rsid w:val="00457047"/>
    <w:rsid w:val="00457133"/>
    <w:rsid w:val="00457830"/>
    <w:rsid w:val="00457CD0"/>
    <w:rsid w:val="00457EEE"/>
    <w:rsid w:val="00460246"/>
    <w:rsid w:val="00460AD3"/>
    <w:rsid w:val="004610F0"/>
    <w:rsid w:val="004612F7"/>
    <w:rsid w:val="0046177F"/>
    <w:rsid w:val="004619EF"/>
    <w:rsid w:val="00461C36"/>
    <w:rsid w:val="00461D4A"/>
    <w:rsid w:val="00461EBD"/>
    <w:rsid w:val="00462672"/>
    <w:rsid w:val="004628AC"/>
    <w:rsid w:val="00462985"/>
    <w:rsid w:val="00462C92"/>
    <w:rsid w:val="00462D0F"/>
    <w:rsid w:val="00462E2B"/>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A60"/>
    <w:rsid w:val="00471B42"/>
    <w:rsid w:val="004720D6"/>
    <w:rsid w:val="0047224D"/>
    <w:rsid w:val="00472BF7"/>
    <w:rsid w:val="004735C9"/>
    <w:rsid w:val="0047362F"/>
    <w:rsid w:val="00474037"/>
    <w:rsid w:val="00474349"/>
    <w:rsid w:val="00474880"/>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301"/>
    <w:rsid w:val="004815CA"/>
    <w:rsid w:val="004815D5"/>
    <w:rsid w:val="00481742"/>
    <w:rsid w:val="004820D0"/>
    <w:rsid w:val="0048219E"/>
    <w:rsid w:val="004823D6"/>
    <w:rsid w:val="004824EE"/>
    <w:rsid w:val="00482C2F"/>
    <w:rsid w:val="00482C9D"/>
    <w:rsid w:val="00482E43"/>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01"/>
    <w:rsid w:val="00491C68"/>
    <w:rsid w:val="00491E4F"/>
    <w:rsid w:val="004928AB"/>
    <w:rsid w:val="00492F91"/>
    <w:rsid w:val="00493377"/>
    <w:rsid w:val="004933F7"/>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5E94"/>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87F"/>
    <w:rsid w:val="004B0E76"/>
    <w:rsid w:val="004B11A7"/>
    <w:rsid w:val="004B1253"/>
    <w:rsid w:val="004B1371"/>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C3E"/>
    <w:rsid w:val="004C3CBF"/>
    <w:rsid w:val="004C3FE9"/>
    <w:rsid w:val="004C4389"/>
    <w:rsid w:val="004C45B7"/>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753"/>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2A56"/>
    <w:rsid w:val="004D2B09"/>
    <w:rsid w:val="004D2DB2"/>
    <w:rsid w:val="004D35AD"/>
    <w:rsid w:val="004D3E8A"/>
    <w:rsid w:val="004D3F29"/>
    <w:rsid w:val="004D40E4"/>
    <w:rsid w:val="004D4459"/>
    <w:rsid w:val="004D52A2"/>
    <w:rsid w:val="004D5552"/>
    <w:rsid w:val="004D5803"/>
    <w:rsid w:val="004D58F7"/>
    <w:rsid w:val="004D6111"/>
    <w:rsid w:val="004D66C1"/>
    <w:rsid w:val="004D6CEF"/>
    <w:rsid w:val="004D73BE"/>
    <w:rsid w:val="004D7C14"/>
    <w:rsid w:val="004D7FFC"/>
    <w:rsid w:val="004E0554"/>
    <w:rsid w:val="004E097A"/>
    <w:rsid w:val="004E09CD"/>
    <w:rsid w:val="004E0DE7"/>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422"/>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77F"/>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CC3"/>
    <w:rsid w:val="00527EF8"/>
    <w:rsid w:val="00527FC5"/>
    <w:rsid w:val="00530086"/>
    <w:rsid w:val="005301C7"/>
    <w:rsid w:val="005304F9"/>
    <w:rsid w:val="00530540"/>
    <w:rsid w:val="005309B2"/>
    <w:rsid w:val="00530A79"/>
    <w:rsid w:val="00530C9A"/>
    <w:rsid w:val="0053106B"/>
    <w:rsid w:val="00531682"/>
    <w:rsid w:val="00531999"/>
    <w:rsid w:val="00531A41"/>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6FA1"/>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DE3"/>
    <w:rsid w:val="005516EC"/>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804"/>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682"/>
    <w:rsid w:val="005848F2"/>
    <w:rsid w:val="00584CA3"/>
    <w:rsid w:val="00584D65"/>
    <w:rsid w:val="00585063"/>
    <w:rsid w:val="00585648"/>
    <w:rsid w:val="005856F5"/>
    <w:rsid w:val="00585A0F"/>
    <w:rsid w:val="00585F09"/>
    <w:rsid w:val="005862E6"/>
    <w:rsid w:val="00586666"/>
    <w:rsid w:val="00586706"/>
    <w:rsid w:val="00586CA1"/>
    <w:rsid w:val="0058709F"/>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236"/>
    <w:rsid w:val="00593A72"/>
    <w:rsid w:val="00593F9B"/>
    <w:rsid w:val="00593FA4"/>
    <w:rsid w:val="00594011"/>
    <w:rsid w:val="005940DC"/>
    <w:rsid w:val="00594729"/>
    <w:rsid w:val="005947E5"/>
    <w:rsid w:val="00594894"/>
    <w:rsid w:val="00594B6A"/>
    <w:rsid w:val="00594BE3"/>
    <w:rsid w:val="00594C24"/>
    <w:rsid w:val="0059515C"/>
    <w:rsid w:val="00595430"/>
    <w:rsid w:val="005958AD"/>
    <w:rsid w:val="00595BAD"/>
    <w:rsid w:val="00595C5E"/>
    <w:rsid w:val="005967D1"/>
    <w:rsid w:val="00596DA9"/>
    <w:rsid w:val="00596E03"/>
    <w:rsid w:val="0059705E"/>
    <w:rsid w:val="00597280"/>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44E"/>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25A7"/>
    <w:rsid w:val="005C26AC"/>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8"/>
    <w:rsid w:val="005E1769"/>
    <w:rsid w:val="005E1888"/>
    <w:rsid w:val="005E1B4D"/>
    <w:rsid w:val="005E1E12"/>
    <w:rsid w:val="005E2122"/>
    <w:rsid w:val="005E2480"/>
    <w:rsid w:val="005E2694"/>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246"/>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354"/>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23B"/>
    <w:rsid w:val="0060230A"/>
    <w:rsid w:val="00602723"/>
    <w:rsid w:val="00602761"/>
    <w:rsid w:val="00602D58"/>
    <w:rsid w:val="00602FFC"/>
    <w:rsid w:val="006036AA"/>
    <w:rsid w:val="006039A3"/>
    <w:rsid w:val="00604283"/>
    <w:rsid w:val="006042BB"/>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E32"/>
    <w:rsid w:val="00612FC7"/>
    <w:rsid w:val="00612FE8"/>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7F"/>
    <w:rsid w:val="00623881"/>
    <w:rsid w:val="00623896"/>
    <w:rsid w:val="006241C9"/>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6B0"/>
    <w:rsid w:val="00636EFE"/>
    <w:rsid w:val="006375AC"/>
    <w:rsid w:val="006376B3"/>
    <w:rsid w:val="00637747"/>
    <w:rsid w:val="00637BD0"/>
    <w:rsid w:val="00637C54"/>
    <w:rsid w:val="00637EFD"/>
    <w:rsid w:val="006401B6"/>
    <w:rsid w:val="006402AB"/>
    <w:rsid w:val="00640543"/>
    <w:rsid w:val="006405D5"/>
    <w:rsid w:val="00641064"/>
    <w:rsid w:val="006411F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092"/>
    <w:rsid w:val="00646421"/>
    <w:rsid w:val="00646528"/>
    <w:rsid w:val="00646665"/>
    <w:rsid w:val="0064687C"/>
    <w:rsid w:val="00646BC2"/>
    <w:rsid w:val="006471E4"/>
    <w:rsid w:val="00647F41"/>
    <w:rsid w:val="00650319"/>
    <w:rsid w:val="0065053D"/>
    <w:rsid w:val="006507A0"/>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10E"/>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9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9C4"/>
    <w:rsid w:val="00685643"/>
    <w:rsid w:val="00685E78"/>
    <w:rsid w:val="00686422"/>
    <w:rsid w:val="0068673F"/>
    <w:rsid w:val="00687512"/>
    <w:rsid w:val="00687518"/>
    <w:rsid w:val="006875BD"/>
    <w:rsid w:val="0068760B"/>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2345"/>
    <w:rsid w:val="00693304"/>
    <w:rsid w:val="006938E2"/>
    <w:rsid w:val="00693BE2"/>
    <w:rsid w:val="00693C6D"/>
    <w:rsid w:val="00693C7B"/>
    <w:rsid w:val="006947F0"/>
    <w:rsid w:val="00694A0D"/>
    <w:rsid w:val="00694B61"/>
    <w:rsid w:val="00694B98"/>
    <w:rsid w:val="0069529C"/>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DC2"/>
    <w:rsid w:val="006A4F71"/>
    <w:rsid w:val="006A513B"/>
    <w:rsid w:val="006A5160"/>
    <w:rsid w:val="006A5951"/>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D39"/>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482"/>
    <w:rsid w:val="006D5702"/>
    <w:rsid w:val="006D5F61"/>
    <w:rsid w:val="006D60E8"/>
    <w:rsid w:val="006D61E8"/>
    <w:rsid w:val="006D6463"/>
    <w:rsid w:val="006D651C"/>
    <w:rsid w:val="006D6AD3"/>
    <w:rsid w:val="006D78E0"/>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A7E"/>
    <w:rsid w:val="006E1A97"/>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C55"/>
    <w:rsid w:val="007062AA"/>
    <w:rsid w:val="00706B89"/>
    <w:rsid w:val="00706F3E"/>
    <w:rsid w:val="00707456"/>
    <w:rsid w:val="00707474"/>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48E"/>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05"/>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2A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CE5"/>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2EF4"/>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45"/>
    <w:rsid w:val="007710CB"/>
    <w:rsid w:val="0077126B"/>
    <w:rsid w:val="007713D4"/>
    <w:rsid w:val="00771652"/>
    <w:rsid w:val="00771760"/>
    <w:rsid w:val="0077186B"/>
    <w:rsid w:val="00771882"/>
    <w:rsid w:val="00772733"/>
    <w:rsid w:val="00772BDC"/>
    <w:rsid w:val="00773155"/>
    <w:rsid w:val="00773158"/>
    <w:rsid w:val="00773548"/>
    <w:rsid w:val="00773551"/>
    <w:rsid w:val="00773713"/>
    <w:rsid w:val="0077376A"/>
    <w:rsid w:val="0077390F"/>
    <w:rsid w:val="00773B24"/>
    <w:rsid w:val="00773C17"/>
    <w:rsid w:val="007743CC"/>
    <w:rsid w:val="0077441C"/>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5DE"/>
    <w:rsid w:val="00781F8F"/>
    <w:rsid w:val="00782574"/>
    <w:rsid w:val="0078282F"/>
    <w:rsid w:val="00782A05"/>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61D"/>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667"/>
    <w:rsid w:val="007E4AC7"/>
    <w:rsid w:val="007E4DF0"/>
    <w:rsid w:val="007E517F"/>
    <w:rsid w:val="007E5214"/>
    <w:rsid w:val="007E56C3"/>
    <w:rsid w:val="007E590F"/>
    <w:rsid w:val="007E5A4C"/>
    <w:rsid w:val="007E5ABE"/>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526"/>
    <w:rsid w:val="00803EA0"/>
    <w:rsid w:val="00803FE6"/>
    <w:rsid w:val="00804CE3"/>
    <w:rsid w:val="0080509C"/>
    <w:rsid w:val="008051EF"/>
    <w:rsid w:val="008053A8"/>
    <w:rsid w:val="0080552E"/>
    <w:rsid w:val="008056E0"/>
    <w:rsid w:val="00805A38"/>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F8F"/>
    <w:rsid w:val="008123CF"/>
    <w:rsid w:val="0081240F"/>
    <w:rsid w:val="0081314C"/>
    <w:rsid w:val="00813793"/>
    <w:rsid w:val="008138F8"/>
    <w:rsid w:val="00813EBD"/>
    <w:rsid w:val="008143FD"/>
    <w:rsid w:val="00814955"/>
    <w:rsid w:val="00814CC0"/>
    <w:rsid w:val="00814F24"/>
    <w:rsid w:val="008153C6"/>
    <w:rsid w:val="0081554E"/>
    <w:rsid w:val="00815734"/>
    <w:rsid w:val="00815DCE"/>
    <w:rsid w:val="00815E46"/>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EF"/>
    <w:rsid w:val="00825133"/>
    <w:rsid w:val="008255CA"/>
    <w:rsid w:val="0082564C"/>
    <w:rsid w:val="0082564D"/>
    <w:rsid w:val="00825755"/>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27F1F"/>
    <w:rsid w:val="0083092C"/>
    <w:rsid w:val="00830958"/>
    <w:rsid w:val="00830B2E"/>
    <w:rsid w:val="00830DC9"/>
    <w:rsid w:val="0083113A"/>
    <w:rsid w:val="008311E9"/>
    <w:rsid w:val="008312B2"/>
    <w:rsid w:val="00831507"/>
    <w:rsid w:val="008315F9"/>
    <w:rsid w:val="00831909"/>
    <w:rsid w:val="00831D78"/>
    <w:rsid w:val="00831E98"/>
    <w:rsid w:val="00831EA7"/>
    <w:rsid w:val="00832151"/>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70D7"/>
    <w:rsid w:val="0084714B"/>
    <w:rsid w:val="00847201"/>
    <w:rsid w:val="00847225"/>
    <w:rsid w:val="00847838"/>
    <w:rsid w:val="008479B1"/>
    <w:rsid w:val="00847C94"/>
    <w:rsid w:val="00847FF3"/>
    <w:rsid w:val="0085019A"/>
    <w:rsid w:val="008504B0"/>
    <w:rsid w:val="008506A1"/>
    <w:rsid w:val="00850E80"/>
    <w:rsid w:val="00850F2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758"/>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C21"/>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5BFE"/>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3A1"/>
    <w:rsid w:val="0088065A"/>
    <w:rsid w:val="00880793"/>
    <w:rsid w:val="008809D8"/>
    <w:rsid w:val="00881049"/>
    <w:rsid w:val="008811F4"/>
    <w:rsid w:val="00881241"/>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43"/>
    <w:rsid w:val="008A53A7"/>
    <w:rsid w:val="008A58E3"/>
    <w:rsid w:val="008A592B"/>
    <w:rsid w:val="008A5B38"/>
    <w:rsid w:val="008A6108"/>
    <w:rsid w:val="008A631C"/>
    <w:rsid w:val="008A63CE"/>
    <w:rsid w:val="008A707C"/>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D39"/>
    <w:rsid w:val="008C30BE"/>
    <w:rsid w:val="008C3401"/>
    <w:rsid w:val="008C346D"/>
    <w:rsid w:val="008C360F"/>
    <w:rsid w:val="008C3E0B"/>
    <w:rsid w:val="008C3E5A"/>
    <w:rsid w:val="008C40AE"/>
    <w:rsid w:val="008C43F5"/>
    <w:rsid w:val="008C449C"/>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F73"/>
    <w:rsid w:val="008D6124"/>
    <w:rsid w:val="008D6D83"/>
    <w:rsid w:val="008D6EEE"/>
    <w:rsid w:val="008D742E"/>
    <w:rsid w:val="008D7862"/>
    <w:rsid w:val="008D7BE3"/>
    <w:rsid w:val="008D7DF0"/>
    <w:rsid w:val="008D7E68"/>
    <w:rsid w:val="008D7F65"/>
    <w:rsid w:val="008E0122"/>
    <w:rsid w:val="008E01A9"/>
    <w:rsid w:val="008E04A9"/>
    <w:rsid w:val="008E073A"/>
    <w:rsid w:val="008E0D7F"/>
    <w:rsid w:val="008E11B5"/>
    <w:rsid w:val="008E18C2"/>
    <w:rsid w:val="008E1E64"/>
    <w:rsid w:val="008E2255"/>
    <w:rsid w:val="008E238B"/>
    <w:rsid w:val="008E26F0"/>
    <w:rsid w:val="008E27B8"/>
    <w:rsid w:val="008E2A68"/>
    <w:rsid w:val="008E2BEE"/>
    <w:rsid w:val="008E2E7F"/>
    <w:rsid w:val="008E3208"/>
    <w:rsid w:val="008E3799"/>
    <w:rsid w:val="008E37FD"/>
    <w:rsid w:val="008E3B9F"/>
    <w:rsid w:val="008E406C"/>
    <w:rsid w:val="008E4272"/>
    <w:rsid w:val="008E4454"/>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61B"/>
    <w:rsid w:val="008F5A5C"/>
    <w:rsid w:val="008F5C07"/>
    <w:rsid w:val="008F5C0D"/>
    <w:rsid w:val="008F5CA2"/>
    <w:rsid w:val="008F6045"/>
    <w:rsid w:val="008F60EC"/>
    <w:rsid w:val="008F618B"/>
    <w:rsid w:val="008F62E9"/>
    <w:rsid w:val="008F6400"/>
    <w:rsid w:val="008F65D4"/>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E06"/>
    <w:rsid w:val="00912F78"/>
    <w:rsid w:val="0091304A"/>
    <w:rsid w:val="009137AC"/>
    <w:rsid w:val="00913B82"/>
    <w:rsid w:val="00913E64"/>
    <w:rsid w:val="00914515"/>
    <w:rsid w:val="00914551"/>
    <w:rsid w:val="009145A5"/>
    <w:rsid w:val="00914675"/>
    <w:rsid w:val="00914AE4"/>
    <w:rsid w:val="00914D10"/>
    <w:rsid w:val="00914D7B"/>
    <w:rsid w:val="00914E28"/>
    <w:rsid w:val="0091557D"/>
    <w:rsid w:val="00915615"/>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5CC9"/>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242"/>
    <w:rsid w:val="0093549E"/>
    <w:rsid w:val="00935BB3"/>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950"/>
    <w:rsid w:val="00962A25"/>
    <w:rsid w:val="00962CFC"/>
    <w:rsid w:val="00962D6A"/>
    <w:rsid w:val="00962DEC"/>
    <w:rsid w:val="00963015"/>
    <w:rsid w:val="0096309D"/>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25F9"/>
    <w:rsid w:val="00983958"/>
    <w:rsid w:val="00983ED7"/>
    <w:rsid w:val="00984020"/>
    <w:rsid w:val="00984484"/>
    <w:rsid w:val="0098455F"/>
    <w:rsid w:val="00984A20"/>
    <w:rsid w:val="00984E99"/>
    <w:rsid w:val="009852CC"/>
    <w:rsid w:val="00985670"/>
    <w:rsid w:val="009856B9"/>
    <w:rsid w:val="009857F2"/>
    <w:rsid w:val="00985F95"/>
    <w:rsid w:val="0098643A"/>
    <w:rsid w:val="00986531"/>
    <w:rsid w:val="00986572"/>
    <w:rsid w:val="00986AB2"/>
    <w:rsid w:val="00986DD5"/>
    <w:rsid w:val="00986E18"/>
    <w:rsid w:val="009906F6"/>
    <w:rsid w:val="009908A7"/>
    <w:rsid w:val="00990F72"/>
    <w:rsid w:val="00991141"/>
    <w:rsid w:val="00991634"/>
    <w:rsid w:val="0099165D"/>
    <w:rsid w:val="0099175F"/>
    <w:rsid w:val="00991FBB"/>
    <w:rsid w:val="00992737"/>
    <w:rsid w:val="00992891"/>
    <w:rsid w:val="00992980"/>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DB6"/>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4CD9"/>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E"/>
    <w:rsid w:val="009D1B87"/>
    <w:rsid w:val="009D2ABB"/>
    <w:rsid w:val="009D2F36"/>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EA"/>
    <w:rsid w:val="009E067B"/>
    <w:rsid w:val="009E0CCC"/>
    <w:rsid w:val="009E0E34"/>
    <w:rsid w:val="009E116E"/>
    <w:rsid w:val="009E1295"/>
    <w:rsid w:val="009E1908"/>
    <w:rsid w:val="009E1B7A"/>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109A"/>
    <w:rsid w:val="009F13F1"/>
    <w:rsid w:val="009F1722"/>
    <w:rsid w:val="009F18BA"/>
    <w:rsid w:val="009F1C04"/>
    <w:rsid w:val="009F1CBB"/>
    <w:rsid w:val="009F1FA8"/>
    <w:rsid w:val="009F22BA"/>
    <w:rsid w:val="009F2472"/>
    <w:rsid w:val="009F295A"/>
    <w:rsid w:val="009F2A05"/>
    <w:rsid w:val="009F353B"/>
    <w:rsid w:val="009F3B10"/>
    <w:rsid w:val="009F3F15"/>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5F0A"/>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BD0"/>
    <w:rsid w:val="00A06442"/>
    <w:rsid w:val="00A0673C"/>
    <w:rsid w:val="00A06D3C"/>
    <w:rsid w:val="00A06EE9"/>
    <w:rsid w:val="00A06FA1"/>
    <w:rsid w:val="00A06FDC"/>
    <w:rsid w:val="00A100C9"/>
    <w:rsid w:val="00A10124"/>
    <w:rsid w:val="00A102B4"/>
    <w:rsid w:val="00A10416"/>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17F57"/>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0C2"/>
    <w:rsid w:val="00A22173"/>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B17"/>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489E"/>
    <w:rsid w:val="00A354CE"/>
    <w:rsid w:val="00A35702"/>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CA9"/>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BD8"/>
    <w:rsid w:val="00A57F03"/>
    <w:rsid w:val="00A6005D"/>
    <w:rsid w:val="00A605A6"/>
    <w:rsid w:val="00A607A8"/>
    <w:rsid w:val="00A61306"/>
    <w:rsid w:val="00A614CE"/>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5ED5"/>
    <w:rsid w:val="00A660F7"/>
    <w:rsid w:val="00A662BB"/>
    <w:rsid w:val="00A665EF"/>
    <w:rsid w:val="00A6672B"/>
    <w:rsid w:val="00A66AB6"/>
    <w:rsid w:val="00A670D6"/>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BE"/>
    <w:rsid w:val="00A82D6A"/>
    <w:rsid w:val="00A8302C"/>
    <w:rsid w:val="00A8313F"/>
    <w:rsid w:val="00A8319E"/>
    <w:rsid w:val="00A8332F"/>
    <w:rsid w:val="00A83AC9"/>
    <w:rsid w:val="00A840AB"/>
    <w:rsid w:val="00A84174"/>
    <w:rsid w:val="00A8435F"/>
    <w:rsid w:val="00A845DC"/>
    <w:rsid w:val="00A84884"/>
    <w:rsid w:val="00A84E22"/>
    <w:rsid w:val="00A84F3D"/>
    <w:rsid w:val="00A858AB"/>
    <w:rsid w:val="00A859A7"/>
    <w:rsid w:val="00A85A1C"/>
    <w:rsid w:val="00A86057"/>
    <w:rsid w:val="00A86245"/>
    <w:rsid w:val="00A871BB"/>
    <w:rsid w:val="00A873B4"/>
    <w:rsid w:val="00A87849"/>
    <w:rsid w:val="00A87A71"/>
    <w:rsid w:val="00A87BD5"/>
    <w:rsid w:val="00A87F9E"/>
    <w:rsid w:val="00A90106"/>
    <w:rsid w:val="00A9031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44A"/>
    <w:rsid w:val="00AB0606"/>
    <w:rsid w:val="00AB0717"/>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3B6"/>
    <w:rsid w:val="00AD15D1"/>
    <w:rsid w:val="00AD1783"/>
    <w:rsid w:val="00AD195C"/>
    <w:rsid w:val="00AD2264"/>
    <w:rsid w:val="00AD28B4"/>
    <w:rsid w:val="00AD2A87"/>
    <w:rsid w:val="00AD2BFD"/>
    <w:rsid w:val="00AD2C01"/>
    <w:rsid w:val="00AD2E68"/>
    <w:rsid w:val="00AD2EA8"/>
    <w:rsid w:val="00AD3169"/>
    <w:rsid w:val="00AD363D"/>
    <w:rsid w:val="00AD3A86"/>
    <w:rsid w:val="00AD3D54"/>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6ED"/>
    <w:rsid w:val="00AF6ADC"/>
    <w:rsid w:val="00AF6EDB"/>
    <w:rsid w:val="00AF70B0"/>
    <w:rsid w:val="00AF7202"/>
    <w:rsid w:val="00AF789D"/>
    <w:rsid w:val="00AF79BF"/>
    <w:rsid w:val="00AF7BEA"/>
    <w:rsid w:val="00B0010A"/>
    <w:rsid w:val="00B006CC"/>
    <w:rsid w:val="00B00850"/>
    <w:rsid w:val="00B00AE5"/>
    <w:rsid w:val="00B00BE9"/>
    <w:rsid w:val="00B00C5C"/>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357"/>
    <w:rsid w:val="00B074CC"/>
    <w:rsid w:val="00B0785E"/>
    <w:rsid w:val="00B078D6"/>
    <w:rsid w:val="00B07AC8"/>
    <w:rsid w:val="00B07B03"/>
    <w:rsid w:val="00B10127"/>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BEA"/>
    <w:rsid w:val="00B24FDD"/>
    <w:rsid w:val="00B250C5"/>
    <w:rsid w:val="00B253B5"/>
    <w:rsid w:val="00B25738"/>
    <w:rsid w:val="00B259AC"/>
    <w:rsid w:val="00B26034"/>
    <w:rsid w:val="00B260F7"/>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E41"/>
    <w:rsid w:val="00B32E50"/>
    <w:rsid w:val="00B3353E"/>
    <w:rsid w:val="00B33CE3"/>
    <w:rsid w:val="00B3464F"/>
    <w:rsid w:val="00B34691"/>
    <w:rsid w:val="00B348A7"/>
    <w:rsid w:val="00B349D3"/>
    <w:rsid w:val="00B34A3A"/>
    <w:rsid w:val="00B34F07"/>
    <w:rsid w:val="00B3533F"/>
    <w:rsid w:val="00B35565"/>
    <w:rsid w:val="00B35E89"/>
    <w:rsid w:val="00B366F0"/>
    <w:rsid w:val="00B36BCA"/>
    <w:rsid w:val="00B36E7F"/>
    <w:rsid w:val="00B36FC2"/>
    <w:rsid w:val="00B372A9"/>
    <w:rsid w:val="00B3797D"/>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440"/>
    <w:rsid w:val="00B4445B"/>
    <w:rsid w:val="00B44B13"/>
    <w:rsid w:val="00B44B4C"/>
    <w:rsid w:val="00B44CD4"/>
    <w:rsid w:val="00B44E1D"/>
    <w:rsid w:val="00B451F2"/>
    <w:rsid w:val="00B4636A"/>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CA9"/>
    <w:rsid w:val="00B56DFF"/>
    <w:rsid w:val="00B56FBC"/>
    <w:rsid w:val="00B5774D"/>
    <w:rsid w:val="00B57EA1"/>
    <w:rsid w:val="00B600CE"/>
    <w:rsid w:val="00B60199"/>
    <w:rsid w:val="00B60294"/>
    <w:rsid w:val="00B60342"/>
    <w:rsid w:val="00B6038E"/>
    <w:rsid w:val="00B60889"/>
    <w:rsid w:val="00B60CC6"/>
    <w:rsid w:val="00B60FE5"/>
    <w:rsid w:val="00B61120"/>
    <w:rsid w:val="00B617E4"/>
    <w:rsid w:val="00B61C09"/>
    <w:rsid w:val="00B6222C"/>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B88"/>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A7E89"/>
    <w:rsid w:val="00BB015A"/>
    <w:rsid w:val="00BB0216"/>
    <w:rsid w:val="00BB02D5"/>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D01"/>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C2C"/>
    <w:rsid w:val="00BC2D0C"/>
    <w:rsid w:val="00BC32DB"/>
    <w:rsid w:val="00BC361B"/>
    <w:rsid w:val="00BC3BA4"/>
    <w:rsid w:val="00BC3C36"/>
    <w:rsid w:val="00BC3E5F"/>
    <w:rsid w:val="00BC3E7F"/>
    <w:rsid w:val="00BC42C8"/>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BE2"/>
    <w:rsid w:val="00BD3299"/>
    <w:rsid w:val="00BD32DF"/>
    <w:rsid w:val="00BD354F"/>
    <w:rsid w:val="00BD3681"/>
    <w:rsid w:val="00BD3740"/>
    <w:rsid w:val="00BD38C8"/>
    <w:rsid w:val="00BD3FFE"/>
    <w:rsid w:val="00BD40A7"/>
    <w:rsid w:val="00BD48CE"/>
    <w:rsid w:val="00BD49C6"/>
    <w:rsid w:val="00BD4C17"/>
    <w:rsid w:val="00BD4DDD"/>
    <w:rsid w:val="00BD56BB"/>
    <w:rsid w:val="00BD5A37"/>
    <w:rsid w:val="00BD5CA4"/>
    <w:rsid w:val="00BD627D"/>
    <w:rsid w:val="00BD6284"/>
    <w:rsid w:val="00BD7587"/>
    <w:rsid w:val="00BD775B"/>
    <w:rsid w:val="00BD7B08"/>
    <w:rsid w:val="00BD7E40"/>
    <w:rsid w:val="00BE01D4"/>
    <w:rsid w:val="00BE060B"/>
    <w:rsid w:val="00BE077A"/>
    <w:rsid w:val="00BE0975"/>
    <w:rsid w:val="00BE0CBF"/>
    <w:rsid w:val="00BE0DEB"/>
    <w:rsid w:val="00BE19B0"/>
    <w:rsid w:val="00BE1D6C"/>
    <w:rsid w:val="00BE20E8"/>
    <w:rsid w:val="00BE2162"/>
    <w:rsid w:val="00BE256C"/>
    <w:rsid w:val="00BE2629"/>
    <w:rsid w:val="00BE2825"/>
    <w:rsid w:val="00BE2C8C"/>
    <w:rsid w:val="00BE31DD"/>
    <w:rsid w:val="00BE36E1"/>
    <w:rsid w:val="00BE3870"/>
    <w:rsid w:val="00BE3AEC"/>
    <w:rsid w:val="00BE3CDD"/>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83D"/>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3E7"/>
    <w:rsid w:val="00C0264E"/>
    <w:rsid w:val="00C030CB"/>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2A2"/>
    <w:rsid w:val="00C144B8"/>
    <w:rsid w:val="00C148A0"/>
    <w:rsid w:val="00C1542D"/>
    <w:rsid w:val="00C158DF"/>
    <w:rsid w:val="00C15F0D"/>
    <w:rsid w:val="00C16401"/>
    <w:rsid w:val="00C16596"/>
    <w:rsid w:val="00C16743"/>
    <w:rsid w:val="00C16CA8"/>
    <w:rsid w:val="00C16CC5"/>
    <w:rsid w:val="00C16D1D"/>
    <w:rsid w:val="00C17169"/>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7C8"/>
    <w:rsid w:val="00C30A76"/>
    <w:rsid w:val="00C30BE0"/>
    <w:rsid w:val="00C30F49"/>
    <w:rsid w:val="00C311CC"/>
    <w:rsid w:val="00C312B4"/>
    <w:rsid w:val="00C31544"/>
    <w:rsid w:val="00C31624"/>
    <w:rsid w:val="00C31BD6"/>
    <w:rsid w:val="00C3210E"/>
    <w:rsid w:val="00C3274C"/>
    <w:rsid w:val="00C32D74"/>
    <w:rsid w:val="00C32D99"/>
    <w:rsid w:val="00C32E69"/>
    <w:rsid w:val="00C33196"/>
    <w:rsid w:val="00C334C0"/>
    <w:rsid w:val="00C33607"/>
    <w:rsid w:val="00C338E5"/>
    <w:rsid w:val="00C339F0"/>
    <w:rsid w:val="00C33B51"/>
    <w:rsid w:val="00C33C7C"/>
    <w:rsid w:val="00C33D1A"/>
    <w:rsid w:val="00C33E28"/>
    <w:rsid w:val="00C34080"/>
    <w:rsid w:val="00C340A5"/>
    <w:rsid w:val="00C34562"/>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5A7"/>
    <w:rsid w:val="00C377E0"/>
    <w:rsid w:val="00C37881"/>
    <w:rsid w:val="00C37DFA"/>
    <w:rsid w:val="00C402E4"/>
    <w:rsid w:val="00C4068C"/>
    <w:rsid w:val="00C409B4"/>
    <w:rsid w:val="00C40A78"/>
    <w:rsid w:val="00C40FB1"/>
    <w:rsid w:val="00C41419"/>
    <w:rsid w:val="00C4150B"/>
    <w:rsid w:val="00C41579"/>
    <w:rsid w:val="00C41C41"/>
    <w:rsid w:val="00C41FF8"/>
    <w:rsid w:val="00C421E1"/>
    <w:rsid w:val="00C424D7"/>
    <w:rsid w:val="00C426D2"/>
    <w:rsid w:val="00C4288C"/>
    <w:rsid w:val="00C42A16"/>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0B2"/>
    <w:rsid w:val="00C544C8"/>
    <w:rsid w:val="00C54ABB"/>
    <w:rsid w:val="00C54CD5"/>
    <w:rsid w:val="00C55005"/>
    <w:rsid w:val="00C55072"/>
    <w:rsid w:val="00C550A8"/>
    <w:rsid w:val="00C55185"/>
    <w:rsid w:val="00C556FD"/>
    <w:rsid w:val="00C55D0D"/>
    <w:rsid w:val="00C563CB"/>
    <w:rsid w:val="00C56487"/>
    <w:rsid w:val="00C56BCD"/>
    <w:rsid w:val="00C56FAE"/>
    <w:rsid w:val="00C573DE"/>
    <w:rsid w:val="00C57958"/>
    <w:rsid w:val="00C57CE6"/>
    <w:rsid w:val="00C601D9"/>
    <w:rsid w:val="00C60397"/>
    <w:rsid w:val="00C603DE"/>
    <w:rsid w:val="00C6082D"/>
    <w:rsid w:val="00C60B4B"/>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5CA"/>
    <w:rsid w:val="00C7465A"/>
    <w:rsid w:val="00C7465B"/>
    <w:rsid w:val="00C74A06"/>
    <w:rsid w:val="00C74AB0"/>
    <w:rsid w:val="00C754FE"/>
    <w:rsid w:val="00C75748"/>
    <w:rsid w:val="00C758E3"/>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48B"/>
    <w:rsid w:val="00C84627"/>
    <w:rsid w:val="00C84B9F"/>
    <w:rsid w:val="00C84C02"/>
    <w:rsid w:val="00C84EDF"/>
    <w:rsid w:val="00C85C67"/>
    <w:rsid w:val="00C85E53"/>
    <w:rsid w:val="00C86031"/>
    <w:rsid w:val="00C86364"/>
    <w:rsid w:val="00C86D51"/>
    <w:rsid w:val="00C87375"/>
    <w:rsid w:val="00C8756C"/>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B58"/>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1D3"/>
    <w:rsid w:val="00CD6482"/>
    <w:rsid w:val="00CD6A3D"/>
    <w:rsid w:val="00CD6B67"/>
    <w:rsid w:val="00CD6C3C"/>
    <w:rsid w:val="00CD6ED9"/>
    <w:rsid w:val="00CD6F74"/>
    <w:rsid w:val="00CD7052"/>
    <w:rsid w:val="00CD7085"/>
    <w:rsid w:val="00CD70E9"/>
    <w:rsid w:val="00CD7281"/>
    <w:rsid w:val="00CD729A"/>
    <w:rsid w:val="00CD7336"/>
    <w:rsid w:val="00CD7756"/>
    <w:rsid w:val="00CD7A02"/>
    <w:rsid w:val="00CD7C0F"/>
    <w:rsid w:val="00CD7CE4"/>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3E0"/>
    <w:rsid w:val="00D12DA3"/>
    <w:rsid w:val="00D12FCC"/>
    <w:rsid w:val="00D12FFA"/>
    <w:rsid w:val="00D130E9"/>
    <w:rsid w:val="00D1316F"/>
    <w:rsid w:val="00D14046"/>
    <w:rsid w:val="00D14687"/>
    <w:rsid w:val="00D1539E"/>
    <w:rsid w:val="00D1548F"/>
    <w:rsid w:val="00D1561B"/>
    <w:rsid w:val="00D15C2B"/>
    <w:rsid w:val="00D16136"/>
    <w:rsid w:val="00D16841"/>
    <w:rsid w:val="00D171C6"/>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3E39"/>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68B"/>
    <w:rsid w:val="00D4370A"/>
    <w:rsid w:val="00D4394A"/>
    <w:rsid w:val="00D43B58"/>
    <w:rsid w:val="00D43C4D"/>
    <w:rsid w:val="00D441D3"/>
    <w:rsid w:val="00D44715"/>
    <w:rsid w:val="00D4477C"/>
    <w:rsid w:val="00D447F6"/>
    <w:rsid w:val="00D44BAA"/>
    <w:rsid w:val="00D454DB"/>
    <w:rsid w:val="00D45DC2"/>
    <w:rsid w:val="00D46BCB"/>
    <w:rsid w:val="00D46F55"/>
    <w:rsid w:val="00D474C3"/>
    <w:rsid w:val="00D474D6"/>
    <w:rsid w:val="00D4755F"/>
    <w:rsid w:val="00D47A48"/>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2E5"/>
    <w:rsid w:val="00D55696"/>
    <w:rsid w:val="00D557C1"/>
    <w:rsid w:val="00D55BE1"/>
    <w:rsid w:val="00D55C53"/>
    <w:rsid w:val="00D55EA1"/>
    <w:rsid w:val="00D564FA"/>
    <w:rsid w:val="00D5658C"/>
    <w:rsid w:val="00D56636"/>
    <w:rsid w:val="00D5670A"/>
    <w:rsid w:val="00D56729"/>
    <w:rsid w:val="00D56A61"/>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6528"/>
    <w:rsid w:val="00D66646"/>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AC3"/>
    <w:rsid w:val="00DA1B78"/>
    <w:rsid w:val="00DA1DF2"/>
    <w:rsid w:val="00DA201E"/>
    <w:rsid w:val="00DA2223"/>
    <w:rsid w:val="00DA22E0"/>
    <w:rsid w:val="00DA24EF"/>
    <w:rsid w:val="00DA2A06"/>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4A5"/>
    <w:rsid w:val="00DA75EF"/>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0F3"/>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495"/>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D9C"/>
    <w:rsid w:val="00DE1ED5"/>
    <w:rsid w:val="00DE216C"/>
    <w:rsid w:val="00DE2373"/>
    <w:rsid w:val="00DE256A"/>
    <w:rsid w:val="00DE298D"/>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A59"/>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762"/>
    <w:rsid w:val="00E029F3"/>
    <w:rsid w:val="00E02B96"/>
    <w:rsid w:val="00E03380"/>
    <w:rsid w:val="00E033B0"/>
    <w:rsid w:val="00E0370C"/>
    <w:rsid w:val="00E03778"/>
    <w:rsid w:val="00E03C00"/>
    <w:rsid w:val="00E03F2A"/>
    <w:rsid w:val="00E04C71"/>
    <w:rsid w:val="00E04E48"/>
    <w:rsid w:val="00E055D1"/>
    <w:rsid w:val="00E0652B"/>
    <w:rsid w:val="00E067A4"/>
    <w:rsid w:val="00E0696B"/>
    <w:rsid w:val="00E06FAE"/>
    <w:rsid w:val="00E071AA"/>
    <w:rsid w:val="00E07242"/>
    <w:rsid w:val="00E075B7"/>
    <w:rsid w:val="00E07795"/>
    <w:rsid w:val="00E07C86"/>
    <w:rsid w:val="00E07CCD"/>
    <w:rsid w:val="00E07D01"/>
    <w:rsid w:val="00E07EA6"/>
    <w:rsid w:val="00E07FD4"/>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1C"/>
    <w:rsid w:val="00E219A8"/>
    <w:rsid w:val="00E21BA2"/>
    <w:rsid w:val="00E21C27"/>
    <w:rsid w:val="00E22345"/>
    <w:rsid w:val="00E229AE"/>
    <w:rsid w:val="00E22DA8"/>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1D4"/>
    <w:rsid w:val="00E372BC"/>
    <w:rsid w:val="00E374DA"/>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81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32AF"/>
    <w:rsid w:val="00E939FE"/>
    <w:rsid w:val="00E944F0"/>
    <w:rsid w:val="00E945C6"/>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460A"/>
    <w:rsid w:val="00EA5069"/>
    <w:rsid w:val="00EA5420"/>
    <w:rsid w:val="00EA5CA3"/>
    <w:rsid w:val="00EA5DA1"/>
    <w:rsid w:val="00EA61D3"/>
    <w:rsid w:val="00EA636B"/>
    <w:rsid w:val="00EA6619"/>
    <w:rsid w:val="00EA6732"/>
    <w:rsid w:val="00EA6D2E"/>
    <w:rsid w:val="00EA6FE7"/>
    <w:rsid w:val="00EA7276"/>
    <w:rsid w:val="00EA73EB"/>
    <w:rsid w:val="00EA754E"/>
    <w:rsid w:val="00EA7834"/>
    <w:rsid w:val="00EA7C44"/>
    <w:rsid w:val="00EA7D28"/>
    <w:rsid w:val="00EA7E98"/>
    <w:rsid w:val="00EB0896"/>
    <w:rsid w:val="00EB0E79"/>
    <w:rsid w:val="00EB175A"/>
    <w:rsid w:val="00EB18F2"/>
    <w:rsid w:val="00EB18FC"/>
    <w:rsid w:val="00EB196C"/>
    <w:rsid w:val="00EB204E"/>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B87"/>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1C1"/>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B7C"/>
    <w:rsid w:val="00F12BDE"/>
    <w:rsid w:val="00F12FC4"/>
    <w:rsid w:val="00F13402"/>
    <w:rsid w:val="00F13574"/>
    <w:rsid w:val="00F136F4"/>
    <w:rsid w:val="00F13A37"/>
    <w:rsid w:val="00F13B6F"/>
    <w:rsid w:val="00F13ECD"/>
    <w:rsid w:val="00F1416F"/>
    <w:rsid w:val="00F14207"/>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6B2"/>
    <w:rsid w:val="00F21763"/>
    <w:rsid w:val="00F21A35"/>
    <w:rsid w:val="00F223FC"/>
    <w:rsid w:val="00F224BA"/>
    <w:rsid w:val="00F2296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37C6F"/>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36C"/>
    <w:rsid w:val="00F4657B"/>
    <w:rsid w:val="00F468ED"/>
    <w:rsid w:val="00F46A1E"/>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61"/>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6AD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2F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A31"/>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4265"/>
    <w:rsid w:val="00FA468F"/>
    <w:rsid w:val="00FA4BB6"/>
    <w:rsid w:val="00FA4C22"/>
    <w:rsid w:val="00FA4ED2"/>
    <w:rsid w:val="00FA5133"/>
    <w:rsid w:val="00FA53B1"/>
    <w:rsid w:val="00FA54E9"/>
    <w:rsid w:val="00FA5629"/>
    <w:rsid w:val="00FA5847"/>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0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EF4"/>
    <w:rsid w:val="00FD5156"/>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449"/>
    <w:rsid w:val="00FE14A9"/>
    <w:rsid w:val="00FE18C3"/>
    <w:rsid w:val="00FE1C57"/>
    <w:rsid w:val="00FE2571"/>
    <w:rsid w:val="00FE262E"/>
    <w:rsid w:val="00FE26B2"/>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2CB"/>
    <w:rsid w:val="00FF2374"/>
    <w:rsid w:val="00FF26F9"/>
    <w:rsid w:val="00FF2A45"/>
    <w:rsid w:val="00FF2EB9"/>
    <w:rsid w:val="00FF31E4"/>
    <w:rsid w:val="00FF34DD"/>
    <w:rsid w:val="00FF38BF"/>
    <w:rsid w:val="00FF3EB4"/>
    <w:rsid w:val="00FF42A5"/>
    <w:rsid w:val="00FF46E1"/>
    <w:rsid w:val="00FF5216"/>
    <w:rsid w:val="00FF5520"/>
    <w:rsid w:val="00FF554A"/>
    <w:rsid w:val="00FF5B38"/>
    <w:rsid w:val="00FF62A7"/>
    <w:rsid w:val="00FF6784"/>
    <w:rsid w:val="00FF678F"/>
    <w:rsid w:val="00FF7362"/>
    <w:rsid w:val="00FF782D"/>
    <w:rsid w:val="00FF7893"/>
    <w:rsid w:val="00FF7BA1"/>
    <w:rsid w:val="00FF7D22"/>
    <w:rsid w:val="25067BD9"/>
    <w:rsid w:val="30722BDB"/>
    <w:rsid w:val="3636037F"/>
    <w:rsid w:val="3EAF324C"/>
    <w:rsid w:val="446E6FAC"/>
    <w:rsid w:val="48727B0C"/>
    <w:rsid w:val="64767370"/>
    <w:rsid w:val="6506661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lsdException w:name="header" w:semiHidden="0" w:uiPriority="0" w:unhideWhenUsed="0" w:qFormat="1"/>
    <w:lsdException w:name="footer" w:semiHidden="0" w:qFormat="1"/>
    <w:lsdException w:name="caption" w:semiHidden="0" w:uiPriority="0" w:unhideWhenUsed="0" w:qFormat="1"/>
    <w:lsdException w:name="annotation reference" w:semiHidden="0" w:uiPriority="0"/>
    <w:lsdException w:name="Title" w:semiHidden="0" w:uiPriority="10" w:unhideWhenUsed="0" w:qFormat="1"/>
    <w:lsdException w:name="Default Paragraph Font" w:uiPriority="1" w:qFormat="1"/>
    <w:lsdException w:name="Body Text" w:semiHidden="0" w:uiPriority="0" w:unhideWhenUsed="0" w:qFormat="1"/>
    <w:lsdException w:name="Body Text Indent"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Normal Table"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DCE"/>
    <w:pPr>
      <w:spacing w:after="200" w:line="276" w:lineRule="auto"/>
    </w:pPr>
    <w:rPr>
      <w:sz w:val="22"/>
      <w:szCs w:val="22"/>
    </w:rPr>
  </w:style>
  <w:style w:type="paragraph" w:styleId="Heading1">
    <w:name w:val="heading 1"/>
    <w:basedOn w:val="Normal"/>
    <w:next w:val="Normal"/>
    <w:link w:val="Heading1Char"/>
    <w:uiPriority w:val="99"/>
    <w:qFormat/>
    <w:rsid w:val="00815DC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qFormat/>
    <w:rsid w:val="00815DCE"/>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815DCE"/>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815DCE"/>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815DCE"/>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815DCE"/>
    <w:rPr>
      <w:b/>
      <w:bCs/>
    </w:rPr>
  </w:style>
  <w:style w:type="paragraph" w:styleId="CommentText">
    <w:name w:val="annotation text"/>
    <w:basedOn w:val="Normal"/>
    <w:link w:val="CommentTextChar"/>
    <w:unhideWhenUsed/>
    <w:rsid w:val="00815DCE"/>
    <w:rPr>
      <w:sz w:val="20"/>
      <w:szCs w:val="20"/>
    </w:rPr>
  </w:style>
  <w:style w:type="paragraph" w:styleId="NormalIndent">
    <w:name w:val="Normal Indent"/>
    <w:basedOn w:val="Normal"/>
    <w:qFormat/>
    <w:rsid w:val="00815DCE"/>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rsid w:val="00815DCE"/>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rsid w:val="00815DCE"/>
    <w:rPr>
      <w:rFonts w:ascii="SimSun"/>
      <w:sz w:val="18"/>
      <w:szCs w:val="18"/>
    </w:rPr>
  </w:style>
  <w:style w:type="paragraph" w:styleId="BodyText">
    <w:name w:val="Body Text"/>
    <w:basedOn w:val="Normal"/>
    <w:link w:val="BodyTextChar"/>
    <w:qFormat/>
    <w:rsid w:val="00815DCE"/>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rsid w:val="00815DCE"/>
    <w:pPr>
      <w:spacing w:after="120"/>
      <w:ind w:left="360"/>
    </w:pPr>
  </w:style>
  <w:style w:type="paragraph" w:styleId="PlainText">
    <w:name w:val="Plain Text"/>
    <w:basedOn w:val="Normal"/>
    <w:link w:val="PlainTextChar"/>
    <w:uiPriority w:val="99"/>
    <w:unhideWhenUsed/>
    <w:qFormat/>
    <w:rsid w:val="00815DCE"/>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rsid w:val="00815DCE"/>
    <w:pPr>
      <w:ind w:leftChars="2500" w:left="100"/>
    </w:pPr>
  </w:style>
  <w:style w:type="paragraph" w:styleId="BalloonText">
    <w:name w:val="Balloon Text"/>
    <w:basedOn w:val="Normal"/>
    <w:link w:val="BalloonTextChar"/>
    <w:uiPriority w:val="99"/>
    <w:unhideWhenUsed/>
    <w:rsid w:val="00815DCE"/>
    <w:pPr>
      <w:spacing w:after="0" w:line="240" w:lineRule="auto"/>
    </w:pPr>
    <w:rPr>
      <w:rFonts w:ascii="Tahoma" w:hAnsi="Tahoma"/>
      <w:sz w:val="16"/>
      <w:szCs w:val="16"/>
    </w:rPr>
  </w:style>
  <w:style w:type="paragraph" w:styleId="Footer">
    <w:name w:val="footer"/>
    <w:basedOn w:val="Normal"/>
    <w:link w:val="FooterChar"/>
    <w:uiPriority w:val="99"/>
    <w:unhideWhenUsed/>
    <w:qFormat/>
    <w:rsid w:val="00815DCE"/>
    <w:pPr>
      <w:tabs>
        <w:tab w:val="center" w:pos="4153"/>
        <w:tab w:val="right" w:pos="8306"/>
      </w:tabs>
      <w:snapToGrid w:val="0"/>
      <w:spacing w:line="240" w:lineRule="auto"/>
    </w:pPr>
    <w:rPr>
      <w:sz w:val="18"/>
      <w:szCs w:val="18"/>
    </w:rPr>
  </w:style>
  <w:style w:type="paragraph" w:styleId="Header">
    <w:name w:val="header"/>
    <w:basedOn w:val="Normal"/>
    <w:link w:val="HeaderChar"/>
    <w:qFormat/>
    <w:rsid w:val="00815DCE"/>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rsid w:val="00815DCE"/>
    <w:pPr>
      <w:spacing w:after="0" w:line="240" w:lineRule="auto"/>
    </w:pPr>
    <w:rPr>
      <w:rFonts w:ascii="SimSun" w:hAnsi="SimSun" w:cs="SimSun"/>
      <w:sz w:val="24"/>
      <w:szCs w:val="24"/>
    </w:rPr>
  </w:style>
  <w:style w:type="character" w:styleId="Hyperlink">
    <w:name w:val="Hyperlink"/>
    <w:uiPriority w:val="99"/>
    <w:unhideWhenUsed/>
    <w:qFormat/>
    <w:rsid w:val="00815DCE"/>
    <w:rPr>
      <w:color w:val="0000FF"/>
      <w:u w:val="single"/>
    </w:rPr>
  </w:style>
  <w:style w:type="character" w:styleId="CommentReference">
    <w:name w:val="annotation reference"/>
    <w:unhideWhenUsed/>
    <w:rsid w:val="00815DCE"/>
    <w:rPr>
      <w:sz w:val="16"/>
      <w:szCs w:val="16"/>
    </w:rPr>
  </w:style>
  <w:style w:type="table" w:styleId="TableGrid">
    <w:name w:val="Table Grid"/>
    <w:basedOn w:val="TableNormal"/>
    <w:uiPriority w:val="59"/>
    <w:qFormat/>
    <w:rsid w:val="00815D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15DCE"/>
    <w:rPr>
      <w:rFonts w:ascii="Arial" w:eastAsia="SimHei" w:hAnsi="Arial"/>
      <w:b/>
      <w:bCs/>
      <w:sz w:val="30"/>
      <w:szCs w:val="30"/>
      <w:lang w:val="zh-CN"/>
    </w:rPr>
  </w:style>
  <w:style w:type="character" w:customStyle="1" w:styleId="HeaderChar">
    <w:name w:val="Header Char"/>
    <w:link w:val="Header"/>
    <w:qFormat/>
    <w:rsid w:val="00815DCE"/>
    <w:rPr>
      <w:rFonts w:ascii="Arial" w:eastAsia="MS Mincho" w:hAnsi="Arial"/>
      <w:b/>
      <w:szCs w:val="24"/>
      <w:lang w:eastAsia="en-US"/>
    </w:rPr>
  </w:style>
  <w:style w:type="paragraph" w:customStyle="1" w:styleId="CharChar1CharCharCharChar">
    <w:name w:val="Char Char1 Char Char Char Char"/>
    <w:semiHidden/>
    <w:qFormat/>
    <w:rsid w:val="00815DCE"/>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qFormat/>
    <w:rsid w:val="00815DCE"/>
  </w:style>
  <w:style w:type="character" w:customStyle="1" w:styleId="CommentSubjectChar">
    <w:name w:val="Comment Subject Char"/>
    <w:link w:val="CommentSubject"/>
    <w:uiPriority w:val="99"/>
    <w:semiHidden/>
    <w:qFormat/>
    <w:rsid w:val="00815DCE"/>
    <w:rPr>
      <w:b/>
      <w:bCs/>
    </w:rPr>
  </w:style>
  <w:style w:type="character" w:customStyle="1" w:styleId="BalloonTextChar">
    <w:name w:val="Balloon Text Char"/>
    <w:link w:val="BalloonText"/>
    <w:uiPriority w:val="99"/>
    <w:semiHidden/>
    <w:qFormat/>
    <w:rsid w:val="00815DCE"/>
    <w:rPr>
      <w:rFonts w:ascii="Tahoma" w:hAnsi="Tahoma" w:cs="Tahoma"/>
      <w:sz w:val="16"/>
      <w:szCs w:val="16"/>
    </w:rPr>
  </w:style>
  <w:style w:type="character" w:customStyle="1" w:styleId="DocumentMapChar">
    <w:name w:val="Document Map Char"/>
    <w:link w:val="DocumentMap"/>
    <w:uiPriority w:val="99"/>
    <w:semiHidden/>
    <w:rsid w:val="00815DCE"/>
    <w:rPr>
      <w:rFonts w:ascii="SimSun"/>
      <w:sz w:val="18"/>
      <w:szCs w:val="18"/>
    </w:rPr>
  </w:style>
  <w:style w:type="character" w:customStyle="1" w:styleId="BodyTextChar">
    <w:name w:val="Body Text Char"/>
    <w:link w:val="BodyText"/>
    <w:qFormat/>
    <w:rsid w:val="00815DCE"/>
    <w:rPr>
      <w:rFonts w:ascii="Times New Roman" w:hAnsi="Times New Roman"/>
      <w:color w:val="0000FF"/>
      <w:kern w:val="2"/>
      <w:sz w:val="21"/>
    </w:rPr>
  </w:style>
  <w:style w:type="character" w:customStyle="1" w:styleId="CaptionChar">
    <w:name w:val="Caption Char"/>
    <w:link w:val="Caption"/>
    <w:rsid w:val="00815DCE"/>
    <w:rPr>
      <w:rFonts w:ascii="Times New Roman" w:hAnsi="Times New Roman"/>
      <w:b/>
      <w:bCs/>
      <w:lang w:val="en-GB" w:eastAsia="sv-SE"/>
    </w:rPr>
  </w:style>
  <w:style w:type="paragraph" w:customStyle="1" w:styleId="a">
    <w:name w:val="表格文字居左"/>
    <w:basedOn w:val="Normal"/>
    <w:next w:val="Normal"/>
    <w:qFormat/>
    <w:rsid w:val="00815DCE"/>
    <w:pPr>
      <w:widowControl w:val="0"/>
      <w:spacing w:after="0" w:line="240" w:lineRule="auto"/>
      <w:jc w:val="both"/>
    </w:pPr>
    <w:rPr>
      <w:rFonts w:ascii="Arial" w:hAnsi="Arial" w:cs="SimSun"/>
      <w:kern w:val="2"/>
      <w:sz w:val="21"/>
      <w:szCs w:val="20"/>
    </w:rPr>
  </w:style>
  <w:style w:type="character" w:customStyle="1" w:styleId="FooterChar">
    <w:name w:val="Footer Char"/>
    <w:link w:val="Footer"/>
    <w:uiPriority w:val="99"/>
    <w:qFormat/>
    <w:rsid w:val="00815DCE"/>
    <w:rPr>
      <w:sz w:val="18"/>
      <w:szCs w:val="18"/>
    </w:rPr>
  </w:style>
  <w:style w:type="character" w:customStyle="1" w:styleId="Heading2Char">
    <w:name w:val="Heading 2 Char"/>
    <w:link w:val="Heading2"/>
    <w:qFormat/>
    <w:rsid w:val="00815DCE"/>
    <w:rPr>
      <w:rFonts w:ascii="Cambria" w:hAnsi="Cambria"/>
      <w:b/>
      <w:bCs/>
      <w:sz w:val="32"/>
      <w:szCs w:val="32"/>
    </w:rPr>
  </w:style>
  <w:style w:type="character" w:customStyle="1" w:styleId="Heading3Char">
    <w:name w:val="Heading 3 Char"/>
    <w:link w:val="Heading3"/>
    <w:uiPriority w:val="9"/>
    <w:semiHidden/>
    <w:qFormat/>
    <w:rsid w:val="00815DCE"/>
    <w:rPr>
      <w:b/>
      <w:bCs/>
      <w:sz w:val="32"/>
      <w:szCs w:val="32"/>
    </w:rPr>
  </w:style>
  <w:style w:type="paragraph" w:customStyle="1" w:styleId="ZA">
    <w:name w:val="ZA"/>
    <w:qFormat/>
    <w:rsid w:val="00815DC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Normal"/>
    <w:next w:val="Normal"/>
    <w:link w:val="z-Char"/>
    <w:uiPriority w:val="99"/>
    <w:unhideWhenUsed/>
    <w:qFormat/>
    <w:rsid w:val="00815DCE"/>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sid w:val="00815DCE"/>
    <w:rPr>
      <w:rFonts w:ascii="Arial" w:hAnsi="Arial" w:cs="Arial"/>
      <w:vanish/>
      <w:sz w:val="16"/>
      <w:szCs w:val="16"/>
    </w:rPr>
  </w:style>
  <w:style w:type="character" w:customStyle="1" w:styleId="hps">
    <w:name w:val="hps"/>
    <w:basedOn w:val="DefaultParagraphFont"/>
    <w:qFormat/>
    <w:rsid w:val="00815DCE"/>
  </w:style>
  <w:style w:type="paragraph" w:customStyle="1" w:styleId="z-10">
    <w:name w:val="z-窗体底端1"/>
    <w:basedOn w:val="Normal"/>
    <w:next w:val="Normal"/>
    <w:link w:val="z-Char0"/>
    <w:uiPriority w:val="99"/>
    <w:unhideWhenUsed/>
    <w:rsid w:val="00815DCE"/>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rsid w:val="00815DCE"/>
    <w:rPr>
      <w:rFonts w:ascii="Arial" w:hAnsi="Arial" w:cs="Arial"/>
      <w:vanish/>
      <w:sz w:val="16"/>
      <w:szCs w:val="16"/>
    </w:rPr>
  </w:style>
  <w:style w:type="character" w:customStyle="1" w:styleId="DateChar">
    <w:name w:val="Date Char"/>
    <w:link w:val="Date"/>
    <w:uiPriority w:val="99"/>
    <w:semiHidden/>
    <w:rsid w:val="00815DCE"/>
    <w:rPr>
      <w:sz w:val="22"/>
      <w:szCs w:val="22"/>
    </w:rPr>
  </w:style>
  <w:style w:type="paragraph" w:customStyle="1" w:styleId="1">
    <w:name w:val="列出段落1"/>
    <w:basedOn w:val="Normal"/>
    <w:link w:val="Char"/>
    <w:uiPriority w:val="99"/>
    <w:qFormat/>
    <w:rsid w:val="00815DCE"/>
    <w:pPr>
      <w:widowControl w:val="0"/>
      <w:spacing w:after="0" w:line="240" w:lineRule="auto"/>
      <w:ind w:firstLineChars="200" w:firstLine="420"/>
      <w:jc w:val="both"/>
    </w:pPr>
    <w:rPr>
      <w:rFonts w:ascii="Times New Roman" w:hAnsi="Times New Roman"/>
      <w:kern w:val="2"/>
      <w:sz w:val="21"/>
      <w:szCs w:val="24"/>
    </w:rPr>
  </w:style>
  <w:style w:type="paragraph" w:customStyle="1" w:styleId="10">
    <w:name w:val="修订1"/>
    <w:hidden/>
    <w:uiPriority w:val="99"/>
    <w:semiHidden/>
    <w:qFormat/>
    <w:rsid w:val="00815DCE"/>
    <w:rPr>
      <w:sz w:val="22"/>
      <w:szCs w:val="22"/>
    </w:rPr>
  </w:style>
  <w:style w:type="paragraph" w:customStyle="1" w:styleId="tablecell">
    <w:name w:val="tablecell"/>
    <w:basedOn w:val="Normal"/>
    <w:qFormat/>
    <w:rsid w:val="00815DCE"/>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rsid w:val="00815DCE"/>
  </w:style>
  <w:style w:type="paragraph" w:customStyle="1" w:styleId="tableheader">
    <w:name w:val="tableheader"/>
    <w:basedOn w:val="Normal"/>
    <w:qFormat/>
    <w:rsid w:val="00815DCE"/>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sid w:val="00815DCE"/>
    <w:rPr>
      <w:rFonts w:eastAsia="Calibri"/>
      <w:sz w:val="22"/>
      <w:szCs w:val="21"/>
      <w:lang w:val="en-GB" w:eastAsia="en-US"/>
    </w:rPr>
  </w:style>
  <w:style w:type="paragraph" w:customStyle="1" w:styleId="TAH">
    <w:name w:val="TAH"/>
    <w:basedOn w:val="TAC"/>
    <w:qFormat/>
    <w:rsid w:val="00815DCE"/>
    <w:rPr>
      <w:b/>
    </w:rPr>
  </w:style>
  <w:style w:type="paragraph" w:customStyle="1" w:styleId="TAC">
    <w:name w:val="TAC"/>
    <w:basedOn w:val="Normal"/>
    <w:qFormat/>
    <w:rsid w:val="00815DCE"/>
    <w:pPr>
      <w:keepNext/>
      <w:keepLines/>
      <w:spacing w:after="0" w:line="240" w:lineRule="auto"/>
      <w:jc w:val="center"/>
    </w:pPr>
    <w:rPr>
      <w:rFonts w:ascii="Arial" w:hAnsi="Arial"/>
      <w:sz w:val="18"/>
      <w:szCs w:val="20"/>
      <w:lang w:val="en-GB" w:eastAsia="en-US"/>
    </w:rPr>
  </w:style>
  <w:style w:type="paragraph" w:customStyle="1" w:styleId="TH">
    <w:name w:val="TH"/>
    <w:basedOn w:val="Normal"/>
    <w:qFormat/>
    <w:rsid w:val="00815DCE"/>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rsid w:val="00815DCE"/>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sid w:val="00815DCE"/>
    <w:rPr>
      <w:rFonts w:ascii="Times New Roman" w:hAnsi="Times New Roman"/>
      <w:b/>
      <w:sz w:val="28"/>
      <w:szCs w:val="28"/>
      <w:lang w:val="en-GB"/>
    </w:rPr>
  </w:style>
  <w:style w:type="character" w:customStyle="1" w:styleId="Heading5Char">
    <w:name w:val="Heading 5 Char"/>
    <w:link w:val="Heading5"/>
    <w:qFormat/>
    <w:rsid w:val="00815DCE"/>
    <w:rPr>
      <w:rFonts w:ascii="Times New Roman" w:hAnsi="Times New Roman"/>
      <w:b/>
      <w:sz w:val="24"/>
      <w:szCs w:val="24"/>
      <w:lang w:val="en-GB"/>
    </w:rPr>
  </w:style>
  <w:style w:type="character" w:customStyle="1" w:styleId="apple-converted-space">
    <w:name w:val="apple-converted-space"/>
    <w:basedOn w:val="DefaultParagraphFont"/>
    <w:qFormat/>
    <w:rsid w:val="00815DCE"/>
  </w:style>
  <w:style w:type="character" w:customStyle="1" w:styleId="Char">
    <w:name w:val="列出段落 Char"/>
    <w:link w:val="1"/>
    <w:uiPriority w:val="99"/>
    <w:qFormat/>
    <w:locked/>
    <w:rsid w:val="00815DCE"/>
    <w:rPr>
      <w:rFonts w:ascii="Times New Roman" w:hAnsi="Times New Roman"/>
      <w:kern w:val="2"/>
      <w:sz w:val="21"/>
      <w:szCs w:val="24"/>
    </w:rPr>
  </w:style>
  <w:style w:type="character" w:customStyle="1" w:styleId="keyword">
    <w:name w:val="keyword"/>
    <w:basedOn w:val="DefaultParagraphFont"/>
    <w:qFormat/>
    <w:rsid w:val="00815DCE"/>
  </w:style>
  <w:style w:type="paragraph" w:customStyle="1" w:styleId="Test">
    <w:name w:val="Test"/>
    <w:basedOn w:val="Normal"/>
    <w:qFormat/>
    <w:rsid w:val="00815DCE"/>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815DCE"/>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815DCE"/>
    <w:rPr>
      <w:rFonts w:ascii="Arial" w:eastAsia="MS Mincho" w:hAnsi="Arial"/>
      <w:szCs w:val="24"/>
      <w:lang w:val="en-GB" w:eastAsia="en-GB"/>
    </w:rPr>
  </w:style>
  <w:style w:type="character" w:customStyle="1" w:styleId="BodyTextIndentChar">
    <w:name w:val="Body Text Indent Char"/>
    <w:link w:val="BodyTextIndent"/>
    <w:uiPriority w:val="99"/>
    <w:semiHidden/>
    <w:qFormat/>
    <w:rsid w:val="00815DCE"/>
    <w:rPr>
      <w:sz w:val="22"/>
      <w:szCs w:val="22"/>
    </w:rPr>
  </w:style>
  <w:style w:type="character" w:customStyle="1" w:styleId="11">
    <w:name w:val="占位符文本1"/>
    <w:basedOn w:val="DefaultParagraphFont"/>
    <w:uiPriority w:val="99"/>
    <w:semiHidden/>
    <w:qFormat/>
    <w:rsid w:val="00815DCE"/>
    <w:rPr>
      <w:color w:val="808080"/>
    </w:rPr>
  </w:style>
  <w:style w:type="paragraph" w:customStyle="1" w:styleId="ordinary-output">
    <w:name w:val="ordinary-output"/>
    <w:basedOn w:val="Normal"/>
    <w:qFormat/>
    <w:rsid w:val="00815DCE"/>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815DCE"/>
  </w:style>
  <w:style w:type="paragraph" w:customStyle="1" w:styleId="tgt2">
    <w:name w:val="tgt2"/>
    <w:basedOn w:val="Normal"/>
    <w:qFormat/>
    <w:rsid w:val="00815DCE"/>
    <w:pPr>
      <w:spacing w:after="107" w:line="360" w:lineRule="auto"/>
    </w:pPr>
    <w:rPr>
      <w:rFonts w:ascii="SimSun" w:hAnsi="SimSun" w:cs="SimSun"/>
      <w:b/>
      <w:bCs/>
      <w:sz w:val="36"/>
      <w:szCs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DE1A78-D5FD-4735-8B2D-C9737788B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2378</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11</cp:revision>
  <cp:lastPrinted>2016-03-29T08:20:00Z</cp:lastPrinted>
  <dcterms:created xsi:type="dcterms:W3CDTF">2017-08-09T13:57:00Z</dcterms:created>
  <dcterms:modified xsi:type="dcterms:W3CDTF">2017-08-11T12:10:00Z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